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E40BEB" w:rsidRPr="001F467C">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Pr="001F467C" w:rsidRDefault="008C462E">
      <w:pPr>
        <w:widowControl w:val="0"/>
        <w:spacing w:line="437" w:lineRule="exact"/>
        <w:rPr>
          <w:rFonts w:ascii="Times New Roman" w:hAnsi="Times New Roman" w:cs="Times New Roman"/>
          <w:sz w:val="24"/>
          <w:szCs w:val="24"/>
        </w:rPr>
      </w:pPr>
    </w:p>
    <w:p w:rsidR="000E7AD1" w:rsidRDefault="000E7AD1" w:rsidP="00945D21">
      <w:pPr>
        <w:widowControl w:val="0"/>
        <w:tabs>
          <w:tab w:val="center" w:pos="5819"/>
        </w:tabs>
        <w:jc w:val="center"/>
        <w:rPr>
          <w:rFonts w:ascii="Times New Roman" w:hAnsi="Times New Roman" w:cs="Times New Roman"/>
          <w:b/>
          <w:bCs/>
          <w:color w:val="000000"/>
          <w:sz w:val="24"/>
          <w:szCs w:val="24"/>
        </w:rPr>
      </w:pPr>
    </w:p>
    <w:p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Questionnaire and</w:t>
      </w:r>
    </w:p>
    <w:p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rsidR="00DF77F1" w:rsidRPr="001F467C" w:rsidRDefault="00DF77F1" w:rsidP="00945D21">
      <w:pPr>
        <w:widowControl w:val="0"/>
        <w:tabs>
          <w:tab w:val="center" w:pos="5820"/>
        </w:tabs>
        <w:jc w:val="center"/>
        <w:rPr>
          <w:rFonts w:ascii="Times New Roman" w:hAnsi="Times New Roman" w:cs="Times New Roman"/>
          <w:b/>
          <w:bCs/>
          <w:color w:val="000000"/>
          <w:sz w:val="24"/>
          <w:szCs w:val="24"/>
        </w:rPr>
      </w:pPr>
    </w:p>
    <w:p w:rsidR="00FC5C33" w:rsidRDefault="00FC5C33" w:rsidP="00945D21">
      <w:pPr>
        <w:widowControl w:val="0"/>
        <w:ind w:left="1" w:hanging="1"/>
        <w:jc w:val="center"/>
        <w:rPr>
          <w:rFonts w:ascii="Times New Roman" w:hAnsi="Times New Roman" w:cs="Times New Roman"/>
          <w:b/>
          <w:bCs/>
          <w:sz w:val="24"/>
          <w:szCs w:val="24"/>
        </w:rPr>
      </w:pPr>
    </w:p>
    <w:p w:rsidR="000E7AD1" w:rsidRDefault="000E7AD1" w:rsidP="00945D21">
      <w:pPr>
        <w:widowControl w:val="0"/>
        <w:ind w:left="1" w:hanging="1"/>
        <w:jc w:val="center"/>
        <w:rPr>
          <w:rFonts w:ascii="Times New Roman" w:hAnsi="Times New Roman" w:cs="Times New Roman"/>
          <w:b/>
          <w:bCs/>
          <w:sz w:val="24"/>
          <w:szCs w:val="24"/>
        </w:rPr>
      </w:pPr>
    </w:p>
    <w:p w:rsidR="008C462E" w:rsidRPr="001F467C" w:rsidRDefault="00D10BE5" w:rsidP="00945D21">
      <w:pPr>
        <w:widowControl w:val="0"/>
        <w:ind w:left="1" w:hanging="1"/>
        <w:jc w:val="center"/>
        <w:rPr>
          <w:rFonts w:ascii="Times New Roman" w:hAnsi="Times New Roman" w:cs="Times New Roman"/>
          <w:sz w:val="24"/>
          <w:szCs w:val="24"/>
        </w:rPr>
      </w:pPr>
      <w:r>
        <w:rPr>
          <w:rFonts w:ascii="Times New Roman" w:hAnsi="Times New Roman" w:cs="Times New Roman"/>
          <w:b/>
          <w:bCs/>
          <w:sz w:val="24"/>
          <w:szCs w:val="24"/>
        </w:rPr>
        <w:t>MOD-0</w:t>
      </w:r>
      <w:r w:rsidR="00220398">
        <w:rPr>
          <w:rFonts w:ascii="Times New Roman" w:hAnsi="Times New Roman" w:cs="Times New Roman"/>
          <w:b/>
          <w:bCs/>
          <w:sz w:val="24"/>
          <w:szCs w:val="24"/>
        </w:rPr>
        <w:t>30</w:t>
      </w:r>
      <w:r w:rsidR="001B5272" w:rsidRPr="001F467C">
        <w:rPr>
          <w:rFonts w:ascii="Times New Roman" w:hAnsi="Times New Roman" w:cs="Times New Roman"/>
          <w:b/>
          <w:bCs/>
          <w:sz w:val="24"/>
          <w:szCs w:val="24"/>
        </w:rPr>
        <w:t>-</w:t>
      </w:r>
      <w:r w:rsidR="00220398">
        <w:rPr>
          <w:rFonts w:ascii="Times New Roman" w:hAnsi="Times New Roman" w:cs="Times New Roman"/>
          <w:b/>
          <w:bCs/>
          <w:sz w:val="24"/>
          <w:szCs w:val="24"/>
        </w:rPr>
        <w:t>2</w:t>
      </w:r>
      <w:r w:rsidR="004A7725" w:rsidRPr="001F467C">
        <w:rPr>
          <w:rFonts w:ascii="Times New Roman" w:hAnsi="Times New Roman" w:cs="Times New Roman"/>
          <w:b/>
          <w:bCs/>
          <w:sz w:val="24"/>
          <w:szCs w:val="24"/>
        </w:rPr>
        <w:t xml:space="preserve"> </w:t>
      </w:r>
      <w:r w:rsidR="001F467C">
        <w:rPr>
          <w:rFonts w:ascii="Times New Roman" w:hAnsi="Times New Roman" w:cs="Times New Roman"/>
          <w:b/>
          <w:bCs/>
          <w:color w:val="003366"/>
          <w:sz w:val="24"/>
          <w:szCs w:val="24"/>
        </w:rPr>
        <w:t>—</w:t>
      </w:r>
      <w:r w:rsidR="00945D21" w:rsidRPr="001F467C">
        <w:rPr>
          <w:rFonts w:ascii="Times New Roman" w:hAnsi="Times New Roman" w:cs="Times New Roman"/>
          <w:b/>
          <w:bCs/>
          <w:color w:val="003366"/>
          <w:sz w:val="24"/>
          <w:szCs w:val="24"/>
        </w:rPr>
        <w:t xml:space="preserve"> </w:t>
      </w:r>
      <w:r w:rsidR="00220398">
        <w:rPr>
          <w:rFonts w:ascii="Times New Roman" w:hAnsi="Times New Roman" w:cs="Times New Roman"/>
          <w:b/>
          <w:bCs/>
          <w:sz w:val="24"/>
          <w:szCs w:val="24"/>
        </w:rPr>
        <w:t>Flowgate Methodology</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FC5C33" w:rsidRDefault="00FC5C33">
      <w:pPr>
        <w:widowControl w:val="0"/>
        <w:tabs>
          <w:tab w:val="left" w:pos="480"/>
        </w:tabs>
        <w:spacing w:line="331" w:lineRule="exact"/>
        <w:rPr>
          <w:rFonts w:ascii="Times New Roman" w:hAnsi="Times New Roman" w:cs="Times New Roman"/>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Registered Entity:</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rsidR="00FC5C33" w:rsidRDefault="00FC5C33">
      <w:pPr>
        <w:widowControl w:val="0"/>
        <w:tabs>
          <w:tab w:val="left" w:pos="48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NCR Number:</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FC5C33" w:rsidRDefault="00FC5C33" w:rsidP="00220398">
      <w:pPr>
        <w:widowControl w:val="0"/>
        <w:tabs>
          <w:tab w:val="left" w:pos="480"/>
          <w:tab w:val="left" w:pos="3720"/>
        </w:tabs>
        <w:spacing w:line="331" w:lineRule="exact"/>
        <w:ind w:left="2970" w:hanging="2969"/>
        <w:rPr>
          <w:rFonts w:ascii="Times New Roman" w:hAnsi="Times New Roman" w:cs="Times New Roman"/>
          <w:b/>
          <w:bCs/>
          <w:color w:val="264D74"/>
          <w:sz w:val="24"/>
          <w:szCs w:val="24"/>
        </w:rPr>
      </w:pPr>
    </w:p>
    <w:p w:rsidR="00FC5C33" w:rsidRDefault="008C462E" w:rsidP="00220398">
      <w:pPr>
        <w:widowControl w:val="0"/>
        <w:tabs>
          <w:tab w:val="left" w:pos="480"/>
          <w:tab w:val="left" w:pos="3720"/>
        </w:tabs>
        <w:spacing w:line="331" w:lineRule="exact"/>
        <w:ind w:left="2970" w:hanging="2969"/>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Applicable Function(s):</w:t>
      </w:r>
      <w:r w:rsidR="00A95CC4">
        <w:rPr>
          <w:rFonts w:ascii="Times New Roman" w:hAnsi="Times New Roman" w:cs="Times New Roman"/>
          <w:b/>
          <w:bCs/>
          <w:color w:val="264D74"/>
          <w:sz w:val="24"/>
          <w:szCs w:val="24"/>
        </w:rPr>
        <w:t xml:space="preserve"> </w:t>
      </w:r>
    </w:p>
    <w:p w:rsidR="00FC5C33"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TOP</w:t>
      </w:r>
      <w:r>
        <w:rPr>
          <w:rFonts w:ascii="Times New Roman" w:hAnsi="Times New Roman" w:cs="Times New Roman"/>
          <w:bCs/>
          <w:sz w:val="24"/>
          <w:szCs w:val="24"/>
        </w:rPr>
        <w:t xml:space="preserve"> that uses the Flowgate Methodology to support the calculation of </w:t>
      </w:r>
    </w:p>
    <w:p w:rsidR="008C462E"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Available Flowgate Capabilities (AFCs) on Flowgates.</w:t>
      </w:r>
    </w:p>
    <w:p w:rsidR="00220398" w:rsidRPr="00220398" w:rsidRDefault="00220398" w:rsidP="00FC5C33">
      <w:pPr>
        <w:widowControl w:val="0"/>
        <w:tabs>
          <w:tab w:val="left" w:pos="1260"/>
        </w:tabs>
        <w:spacing w:line="331" w:lineRule="exact"/>
        <w:ind w:left="2250" w:hanging="108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TSP</w:t>
      </w:r>
      <w:r>
        <w:rPr>
          <w:rFonts w:ascii="Times New Roman" w:hAnsi="Times New Roman" w:cs="Times New Roman"/>
          <w:bCs/>
          <w:sz w:val="24"/>
          <w:szCs w:val="24"/>
        </w:rPr>
        <w:t xml:space="preserve"> that uses the Flowgate Methodology to calculate AFCs Flowgate.</w:t>
      </w:r>
    </w:p>
    <w:p w:rsidR="00FC5C33" w:rsidRDefault="00FC5C33" w:rsidP="00FC5C33">
      <w:pPr>
        <w:widowControl w:val="0"/>
        <w:tabs>
          <w:tab w:val="left" w:pos="120"/>
        </w:tabs>
        <w:spacing w:line="331" w:lineRule="exact"/>
        <w:rPr>
          <w:rFonts w:ascii="Times New Roman" w:hAnsi="Times New Roman" w:cs="Times New Roman"/>
          <w:b/>
          <w:bCs/>
          <w:color w:val="264D74"/>
          <w:sz w:val="24"/>
          <w:szCs w:val="24"/>
        </w:rPr>
      </w:pPr>
    </w:p>
    <w:p w:rsidR="00DF77F1" w:rsidRPr="00021BFF" w:rsidRDefault="00DF77F1" w:rsidP="00FC5C33">
      <w:pPr>
        <w:widowControl w:val="0"/>
        <w:tabs>
          <w:tab w:val="left" w:pos="120"/>
        </w:tabs>
        <w:spacing w:line="331"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spacing w:line="120" w:lineRule="exact"/>
        <w:rPr>
          <w:rFonts w:ascii="Times New Roman" w:hAnsi="Times New Roman" w:cs="Times New Roman"/>
          <w:sz w:val="24"/>
          <w:szCs w:val="24"/>
        </w:rPr>
      </w:pPr>
    </w:p>
    <w:p w:rsidR="008C462E" w:rsidRPr="001F467C"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rsidR="009F494F" w:rsidRPr="001F467C" w:rsidRDefault="009F494F" w:rsidP="009F494F">
      <w:pPr>
        <w:widowControl w:val="0"/>
        <w:tabs>
          <w:tab w:val="left" w:pos="120"/>
        </w:tabs>
        <w:spacing w:line="331"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lastRenderedPageBreak/>
        <w:t>Disclaimer</w:t>
      </w:r>
    </w:p>
    <w:p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7D6EAD" w:rsidRDefault="008C462E" w:rsidP="007D6EAD">
      <w:pPr>
        <w:pStyle w:val="Heading1"/>
        <w:rPr>
          <w:szCs w:val="24"/>
        </w:rPr>
      </w:pPr>
      <w:r w:rsidRPr="001F467C">
        <w:rPr>
          <w:rFonts w:ascii="Times New Roman" w:hAnsi="Times New Roman" w:cs="Times New Roman"/>
          <w:sz w:val="24"/>
          <w:szCs w:val="24"/>
        </w:rPr>
        <w:br w:type="page"/>
      </w:r>
      <w:r w:rsidR="00DF77F1" w:rsidRPr="007D6EAD">
        <w:lastRenderedPageBreak/>
        <w:t>Subject Matter Experts</w:t>
      </w:r>
    </w:p>
    <w:p w:rsidR="00FC5C33" w:rsidRDefault="00FC5C33"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FC5C33">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FC5C33" w:rsidTr="00B060A0">
        <w:tc>
          <w:tcPr>
            <w:tcW w:w="3528" w:type="dxa"/>
            <w:tcBorders>
              <w:top w:val="single" w:sz="8" w:space="0" w:color="4F81BD"/>
              <w:left w:val="nil"/>
              <w:bottom w:val="single" w:sz="8" w:space="0" w:color="4F81BD"/>
              <w:right w:val="nil"/>
            </w:tcBorders>
          </w:tcPr>
          <w:p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FC5C33" w:rsidRDefault="00DF77F1" w:rsidP="00B060A0">
            <w:pPr>
              <w:widowControl w:val="0"/>
              <w:spacing w:line="468" w:lineRule="exact"/>
              <w:rPr>
                <w:rFonts w:ascii="Times New Roman" w:hAnsi="Times New Roman" w:cs="Times New Roman"/>
                <w:b/>
                <w:bCs/>
                <w:color w:val="264D74"/>
                <w:sz w:val="24"/>
                <w:szCs w:val="24"/>
              </w:rPr>
            </w:pPr>
            <w:r w:rsidRPr="00FC5C33">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DF77F1" w:rsidRPr="00234680" w:rsidRDefault="00DF77F1" w:rsidP="00DF77F1">
      <w:pPr>
        <w:widowControl w:val="0"/>
        <w:spacing w:line="468"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7D6EAD">
      <w:pPr>
        <w:pStyle w:val="Heading1"/>
      </w:pPr>
    </w:p>
    <w:p w:rsidR="002B6766" w:rsidRDefault="00DF77F1" w:rsidP="00FC5C33">
      <w:pPr>
        <w:pStyle w:val="Heading1"/>
      </w:pPr>
      <w:r>
        <w:rPr>
          <w:rFonts w:ascii="Times New Roman" w:hAnsi="Times New Roman" w:cs="Times New Roman"/>
          <w:sz w:val="24"/>
          <w:szCs w:val="24"/>
        </w:rPr>
        <w:br w:type="page"/>
      </w:r>
      <w:r w:rsidR="002B6766">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1F467C"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sidR="00D10BE5">
        <w:rPr>
          <w:rFonts w:ascii="Times New Roman" w:hAnsi="Times New Roman" w:cs="Times New Roman"/>
          <w:b/>
          <w:bCs/>
          <w:color w:val="003366"/>
          <w:sz w:val="24"/>
          <w:szCs w:val="24"/>
        </w:rPr>
        <w:t>MOD-0</w:t>
      </w:r>
      <w:r w:rsidR="00220398">
        <w:rPr>
          <w:rFonts w:ascii="Times New Roman" w:hAnsi="Times New Roman" w:cs="Times New Roman"/>
          <w:b/>
          <w:bCs/>
          <w:color w:val="003366"/>
          <w:sz w:val="24"/>
          <w:szCs w:val="24"/>
        </w:rPr>
        <w:t>30</w:t>
      </w:r>
      <w:r w:rsidR="001F467C">
        <w:rPr>
          <w:rFonts w:ascii="Times New Roman" w:hAnsi="Times New Roman" w:cs="Times New Roman"/>
          <w:b/>
          <w:bCs/>
          <w:color w:val="003366"/>
          <w:sz w:val="24"/>
          <w:szCs w:val="24"/>
        </w:rPr>
        <w:t>-</w:t>
      </w:r>
      <w:r w:rsidR="00220398">
        <w:rPr>
          <w:rFonts w:ascii="Times New Roman" w:hAnsi="Times New Roman" w:cs="Times New Roman"/>
          <w:b/>
          <w:bCs/>
          <w:color w:val="003366"/>
          <w:sz w:val="24"/>
          <w:szCs w:val="24"/>
        </w:rPr>
        <w:t>2</w:t>
      </w:r>
      <w:r w:rsidRPr="001F467C">
        <w:rPr>
          <w:rFonts w:ascii="Times New Roman" w:hAnsi="Times New Roman" w:cs="Times New Roman"/>
          <w:b/>
          <w:bCs/>
          <w:color w:val="003366"/>
          <w:sz w:val="24"/>
          <w:szCs w:val="24"/>
        </w:rPr>
        <w:t xml:space="preserve"> </w:t>
      </w:r>
      <w:r w:rsidR="001F467C">
        <w:rPr>
          <w:rFonts w:ascii="Times New Roman" w:hAnsi="Times New Roman" w:cs="Times New Roman"/>
          <w:b/>
          <w:bCs/>
          <w:color w:val="003366"/>
          <w:sz w:val="24"/>
          <w:szCs w:val="24"/>
        </w:rPr>
        <w:t>—</w:t>
      </w:r>
      <w:r w:rsidRPr="001F467C">
        <w:rPr>
          <w:rFonts w:ascii="Times New Roman" w:hAnsi="Times New Roman" w:cs="Times New Roman"/>
          <w:b/>
          <w:bCs/>
          <w:color w:val="003366"/>
          <w:sz w:val="24"/>
          <w:szCs w:val="24"/>
        </w:rPr>
        <w:t xml:space="preserve"> </w:t>
      </w:r>
      <w:r w:rsidR="00220398">
        <w:rPr>
          <w:rFonts w:ascii="Times New Roman" w:hAnsi="Times New Roman" w:cs="Times New Roman"/>
          <w:b/>
          <w:bCs/>
          <w:color w:val="003366"/>
          <w:sz w:val="24"/>
          <w:szCs w:val="24"/>
        </w:rPr>
        <w:t>Flowgate Methodology</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FC5C33" w:rsidRDefault="00FC5C33">
      <w:pPr>
        <w:widowControl w:val="0"/>
        <w:tabs>
          <w:tab w:val="left" w:pos="840"/>
        </w:tabs>
        <w:spacing w:line="294" w:lineRule="exact"/>
        <w:rPr>
          <w:rFonts w:ascii="Times New Roman" w:hAnsi="Times New Roman" w:cs="Times New Roman"/>
          <w:b/>
          <w:bCs/>
          <w:color w:val="264D74"/>
          <w:sz w:val="24"/>
          <w:szCs w:val="24"/>
        </w:rPr>
      </w:pPr>
    </w:p>
    <w:p w:rsidR="008C462E" w:rsidRPr="001F467C" w:rsidRDefault="008C462E">
      <w:pPr>
        <w:widowControl w:val="0"/>
        <w:tabs>
          <w:tab w:val="left" w:pos="84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Purpose: </w:t>
      </w:r>
    </w:p>
    <w:p w:rsidR="00D10BE5" w:rsidRDefault="00D10BE5" w:rsidP="00D10BE5">
      <w:pPr>
        <w:pStyle w:val="Default"/>
      </w:pPr>
    </w:p>
    <w:p w:rsidR="002E66FF" w:rsidRPr="00E0426B" w:rsidRDefault="00E0426B">
      <w:pPr>
        <w:widowControl w:val="0"/>
        <w:tabs>
          <w:tab w:val="left" w:pos="840"/>
        </w:tabs>
        <w:spacing w:line="294" w:lineRule="exact"/>
        <w:rPr>
          <w:rFonts w:ascii="Times New Roman" w:hAnsi="Times New Roman" w:cs="Times New Roman"/>
          <w:b/>
          <w:bCs/>
          <w:color w:val="264D74"/>
          <w:sz w:val="24"/>
          <w:szCs w:val="24"/>
        </w:rPr>
      </w:pPr>
      <w:r w:rsidRPr="00E0426B">
        <w:rPr>
          <w:rFonts w:ascii="Times New Roman" w:hAnsi="Times New Roman" w:cs="Times New Roman"/>
          <w:color w:val="000000"/>
          <w:sz w:val="24"/>
          <w:szCs w:val="24"/>
        </w:rPr>
        <w:t>To</w:t>
      </w:r>
      <w:r w:rsidRPr="00E0426B" w:rsidDel="008C2297">
        <w:rPr>
          <w:rFonts w:ascii="Times New Roman" w:hAnsi="Times New Roman" w:cs="Times New Roman"/>
          <w:color w:val="000000"/>
          <w:sz w:val="24"/>
          <w:szCs w:val="24"/>
        </w:rPr>
        <w:t xml:space="preserve"> </w:t>
      </w:r>
      <w:r w:rsidRPr="00E0426B">
        <w:rPr>
          <w:rFonts w:ascii="Times New Roman" w:hAnsi="Times New Roman" w:cs="Times New Roman"/>
          <w:color w:val="000000"/>
          <w:sz w:val="24"/>
          <w:szCs w:val="24"/>
        </w:rPr>
        <w:t>increase consistency and reliability in the development and documentation of transfer capability calculations for short-term use performed by entities using the Flowgate Methodology to support analysis and system operations.</w:t>
      </w:r>
    </w:p>
    <w:p w:rsidR="008737EE" w:rsidRPr="001F467C" w:rsidRDefault="008737EE">
      <w:pPr>
        <w:widowControl w:val="0"/>
        <w:tabs>
          <w:tab w:val="left" w:pos="840"/>
        </w:tabs>
        <w:spacing w:line="294" w:lineRule="exact"/>
        <w:rPr>
          <w:rFonts w:ascii="Times New Roman" w:hAnsi="Times New Roman" w:cs="Times New Roman"/>
          <w:b/>
          <w:bCs/>
          <w:color w:val="264D74"/>
          <w:sz w:val="24"/>
          <w:szCs w:val="24"/>
        </w:rPr>
      </w:pPr>
    </w:p>
    <w:p w:rsidR="00FC5C33" w:rsidRDefault="008C462E" w:rsidP="00E0426B">
      <w:pPr>
        <w:widowControl w:val="0"/>
        <w:tabs>
          <w:tab w:val="left" w:pos="480"/>
          <w:tab w:val="left" w:pos="3720"/>
        </w:tabs>
        <w:spacing w:line="331" w:lineRule="exact"/>
        <w:ind w:left="1440" w:hanging="1439"/>
        <w:rPr>
          <w:rFonts w:ascii="Times New Roman" w:hAnsi="Times New Roman" w:cs="Times New Roman"/>
          <w:bCs/>
          <w:sz w:val="24"/>
          <w:szCs w:val="24"/>
        </w:rPr>
      </w:pPr>
      <w:r w:rsidRPr="001F467C">
        <w:rPr>
          <w:rFonts w:ascii="Times New Roman" w:hAnsi="Times New Roman" w:cs="Times New Roman"/>
          <w:b/>
          <w:bCs/>
          <w:color w:val="264D74"/>
          <w:sz w:val="24"/>
          <w:szCs w:val="24"/>
        </w:rPr>
        <w:t>Applicability:</w:t>
      </w:r>
      <w:r w:rsidR="00E0426B" w:rsidRPr="00E0426B">
        <w:rPr>
          <w:rFonts w:ascii="Times New Roman" w:hAnsi="Times New Roman" w:cs="Times New Roman"/>
          <w:bCs/>
          <w:sz w:val="24"/>
          <w:szCs w:val="24"/>
        </w:rPr>
        <w:t xml:space="preserve"> </w:t>
      </w:r>
    </w:p>
    <w:p w:rsidR="00FC5C33" w:rsidRDefault="00E0426B" w:rsidP="00FC5C33">
      <w:pPr>
        <w:widowControl w:val="0"/>
        <w:tabs>
          <w:tab w:val="left" w:pos="1350"/>
        </w:tabs>
        <w:spacing w:line="331" w:lineRule="exact"/>
        <w:ind w:left="1440" w:hanging="9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TOP</w:t>
      </w:r>
      <w:r>
        <w:rPr>
          <w:rFonts w:ascii="Times New Roman" w:hAnsi="Times New Roman" w:cs="Times New Roman"/>
          <w:bCs/>
          <w:sz w:val="24"/>
          <w:szCs w:val="24"/>
        </w:rPr>
        <w:t xml:space="preserve"> that uses the Flowgate Methodology to support the calculation of Available Flowgate </w:t>
      </w:r>
    </w:p>
    <w:p w:rsidR="00E0426B" w:rsidRDefault="00E0426B" w:rsidP="00FC5C33">
      <w:pPr>
        <w:widowControl w:val="0"/>
        <w:tabs>
          <w:tab w:val="left" w:pos="1350"/>
        </w:tabs>
        <w:spacing w:line="331" w:lineRule="exact"/>
        <w:ind w:left="1440" w:hanging="90"/>
        <w:rPr>
          <w:rFonts w:ascii="Times New Roman" w:hAnsi="Times New Roman" w:cs="Times New Roman"/>
          <w:bCs/>
          <w:sz w:val="24"/>
          <w:szCs w:val="24"/>
        </w:rPr>
      </w:pPr>
      <w:r>
        <w:rPr>
          <w:rFonts w:ascii="Times New Roman" w:hAnsi="Times New Roman" w:cs="Times New Roman"/>
          <w:bCs/>
          <w:sz w:val="24"/>
          <w:szCs w:val="24"/>
        </w:rPr>
        <w:t>Capabilities (AFCs) on Flowgates.</w:t>
      </w:r>
    </w:p>
    <w:p w:rsidR="00E0426B" w:rsidRPr="00220398" w:rsidRDefault="00E0426B" w:rsidP="00FC5C33">
      <w:pPr>
        <w:widowControl w:val="0"/>
        <w:tabs>
          <w:tab w:val="left" w:pos="1350"/>
        </w:tabs>
        <w:spacing w:line="331" w:lineRule="exact"/>
        <w:ind w:left="1440" w:hanging="90"/>
        <w:rPr>
          <w:rFonts w:ascii="Times New Roman" w:hAnsi="Times New Roman" w:cs="Times New Roman"/>
          <w:bCs/>
          <w:sz w:val="24"/>
          <w:szCs w:val="24"/>
        </w:rPr>
      </w:pPr>
      <w:r>
        <w:rPr>
          <w:rFonts w:ascii="Times New Roman" w:hAnsi="Times New Roman" w:cs="Times New Roman"/>
          <w:bCs/>
          <w:sz w:val="24"/>
          <w:szCs w:val="24"/>
        </w:rPr>
        <w:t xml:space="preserve">Each </w:t>
      </w:r>
      <w:r w:rsidRPr="00FC5C33">
        <w:rPr>
          <w:rFonts w:ascii="Times New Roman" w:hAnsi="Times New Roman" w:cs="Times New Roman"/>
          <w:b/>
          <w:bCs/>
          <w:sz w:val="24"/>
          <w:szCs w:val="24"/>
        </w:rPr>
        <w:t>TSP</w:t>
      </w:r>
      <w:r>
        <w:rPr>
          <w:rFonts w:ascii="Times New Roman" w:hAnsi="Times New Roman" w:cs="Times New Roman"/>
          <w:bCs/>
          <w:sz w:val="24"/>
          <w:szCs w:val="24"/>
        </w:rPr>
        <w:t xml:space="preserve"> that uses the Flowgate Methodology to calculate AFCs Flowgate</w:t>
      </w:r>
      <w:r w:rsidR="001763F4">
        <w:rPr>
          <w:rFonts w:ascii="Times New Roman" w:hAnsi="Times New Roman" w:cs="Times New Roman"/>
          <w:bCs/>
          <w:sz w:val="24"/>
          <w:szCs w:val="24"/>
        </w:rPr>
        <w:t>s</w:t>
      </w:r>
      <w:r>
        <w:rPr>
          <w:rFonts w:ascii="Times New Roman" w:hAnsi="Times New Roman" w:cs="Times New Roman"/>
          <w:bCs/>
          <w:sz w:val="24"/>
          <w:szCs w:val="24"/>
        </w:rPr>
        <w:t>.</w:t>
      </w:r>
    </w:p>
    <w:p w:rsidR="002E66FF" w:rsidRPr="001F467C" w:rsidRDefault="002E66FF" w:rsidP="00E0426B">
      <w:pPr>
        <w:widowControl w:val="0"/>
        <w:tabs>
          <w:tab w:val="left" w:pos="840"/>
        </w:tabs>
        <w:spacing w:line="294" w:lineRule="exact"/>
        <w:rPr>
          <w:rFonts w:ascii="Times New Roman" w:hAnsi="Times New Roman" w:cs="Times New Roman"/>
          <w:bCs/>
          <w:snapToGrid w:val="0"/>
          <w:sz w:val="24"/>
          <w:szCs w:val="24"/>
        </w:rPr>
      </w:pPr>
      <w:r w:rsidRPr="001F467C">
        <w:rPr>
          <w:rFonts w:ascii="Times New Roman" w:hAnsi="Times New Roman" w:cs="Times New Roman"/>
          <w:bCs/>
          <w:snapToGrid w:val="0"/>
          <w:sz w:val="24"/>
          <w:szCs w:val="24"/>
        </w:rPr>
        <w:t xml:space="preserve">    </w:t>
      </w:r>
    </w:p>
    <w:p w:rsidR="008737EE" w:rsidRPr="001F467C" w:rsidRDefault="008737EE"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p>
    <w:p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1763F4">
        <w:rPr>
          <w:rFonts w:ascii="Times New Roman Bold" w:hAnsi="Times New Roman Bold" w:cs="Times New Roman"/>
          <w:b/>
          <w:bCs/>
          <w:sz w:val="24"/>
          <w:szCs w:val="24"/>
        </w:rPr>
        <w:t>2/10/2009</w:t>
      </w:r>
    </w:p>
    <w:p w:rsidR="008C462E" w:rsidRPr="003512AC" w:rsidRDefault="008C462E">
      <w:pPr>
        <w:widowControl w:val="0"/>
        <w:spacing w:line="120" w:lineRule="exact"/>
        <w:rPr>
          <w:rFonts w:ascii="Times New Roman Bold" w:hAnsi="Times New Roman Bold" w:cs="Times New Roman"/>
          <w:sz w:val="24"/>
          <w:szCs w:val="24"/>
        </w:rPr>
      </w:pPr>
    </w:p>
    <w:p w:rsidR="008C462E" w:rsidRPr="001763F4" w:rsidRDefault="008C462E">
      <w:pPr>
        <w:widowControl w:val="0"/>
        <w:tabs>
          <w:tab w:val="left" w:pos="480"/>
        </w:tabs>
        <w:spacing w:line="24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FERC Approval </w:t>
      </w:r>
      <w:r w:rsidRPr="001763F4">
        <w:rPr>
          <w:rFonts w:ascii="Times New Roman Bold" w:hAnsi="Times New Roman Bold" w:cs="Times New Roman"/>
          <w:b/>
          <w:bCs/>
          <w:sz w:val="24"/>
          <w:szCs w:val="24"/>
        </w:rPr>
        <w:t>Date:</w:t>
      </w:r>
      <w:r w:rsidR="001763F4">
        <w:rPr>
          <w:rFonts w:ascii="Times New Roman Bold" w:hAnsi="Times New Roman Bold" w:cs="Times New Roman"/>
          <w:b/>
          <w:bCs/>
          <w:sz w:val="24"/>
          <w:szCs w:val="24"/>
        </w:rPr>
        <w:t xml:space="preserve"> </w:t>
      </w:r>
      <w:r w:rsidR="001763F4" w:rsidRPr="001763F4">
        <w:rPr>
          <w:rFonts w:ascii="Times New Roman Bold" w:hAnsi="Times New Roman Bold" w:cs="Times New Roman"/>
          <w:b/>
          <w:bCs/>
          <w:sz w:val="24"/>
          <w:szCs w:val="24"/>
        </w:rPr>
        <w:t>11/24/2009</w:t>
      </w:r>
    </w:p>
    <w:p w:rsidR="008C462E" w:rsidRPr="001763F4" w:rsidRDefault="008C462E">
      <w:pPr>
        <w:widowControl w:val="0"/>
        <w:spacing w:line="120" w:lineRule="exact"/>
        <w:rPr>
          <w:rFonts w:ascii="Times New Roman Bold" w:hAnsi="Times New Roman Bold" w:cs="Times New Roman"/>
          <w:sz w:val="24"/>
          <w:szCs w:val="24"/>
        </w:rPr>
      </w:pPr>
    </w:p>
    <w:p w:rsidR="008C462E" w:rsidRPr="001763F4" w:rsidRDefault="008C462E">
      <w:pPr>
        <w:widowControl w:val="0"/>
        <w:tabs>
          <w:tab w:val="left" w:pos="480"/>
        </w:tabs>
        <w:spacing w:line="240" w:lineRule="exact"/>
        <w:rPr>
          <w:rFonts w:ascii="Times New Roman Bold" w:hAnsi="Times New Roman Bold" w:cs="Times New Roman"/>
          <w:b/>
          <w:bCs/>
          <w:sz w:val="24"/>
          <w:szCs w:val="24"/>
        </w:rPr>
      </w:pPr>
      <w:r w:rsidRPr="001763F4">
        <w:rPr>
          <w:rFonts w:ascii="Times New Roman Bold" w:hAnsi="Times New Roman Bold" w:cs="Times New Roman"/>
          <w:b/>
          <w:bCs/>
          <w:sz w:val="24"/>
          <w:szCs w:val="24"/>
        </w:rPr>
        <w:t>Reliability Standard Enforcem</w:t>
      </w:r>
      <w:r w:rsidR="0015310F" w:rsidRPr="001763F4">
        <w:rPr>
          <w:rFonts w:ascii="Times New Roman Bold" w:hAnsi="Times New Roman Bold" w:cs="Times New Roman"/>
          <w:b/>
          <w:bCs/>
          <w:sz w:val="24"/>
          <w:szCs w:val="24"/>
        </w:rPr>
        <w:t xml:space="preserve">ent Date in the United States: </w:t>
      </w:r>
      <w:r w:rsidR="007579E4">
        <w:rPr>
          <w:rFonts w:ascii="Times New Roman Bold" w:hAnsi="Times New Roman Bold" w:cs="Times New Roman"/>
          <w:b/>
          <w:bCs/>
          <w:sz w:val="24"/>
          <w:szCs w:val="24"/>
        </w:rPr>
        <w:t>4</w:t>
      </w:r>
      <w:r w:rsidR="001763F4" w:rsidRPr="001763F4">
        <w:rPr>
          <w:rFonts w:ascii="Times New Roman Bold" w:hAnsi="Times New Roman Bold" w:cs="Times New Roman"/>
          <w:b/>
          <w:bCs/>
          <w:sz w:val="24"/>
          <w:szCs w:val="24"/>
        </w:rPr>
        <w:t>/01/2011</w:t>
      </w:r>
    </w:p>
    <w:p w:rsidR="008C462E" w:rsidRDefault="008C462E">
      <w:pPr>
        <w:widowControl w:val="0"/>
        <w:spacing w:line="240" w:lineRule="exact"/>
        <w:rPr>
          <w:rFonts w:ascii="Times New Roman" w:hAnsi="Times New Roman" w:cs="Times New Roman"/>
          <w:sz w:val="24"/>
          <w:szCs w:val="24"/>
        </w:rPr>
      </w:pPr>
    </w:p>
    <w:p w:rsidR="00FC5C33" w:rsidRDefault="00FC5C33" w:rsidP="001763F4">
      <w:pPr>
        <w:widowControl w:val="0"/>
        <w:tabs>
          <w:tab w:val="left" w:pos="720"/>
        </w:tabs>
        <w:spacing w:line="294" w:lineRule="exact"/>
        <w:ind w:left="720"/>
        <w:rPr>
          <w:rFonts w:ascii="Times New Roman" w:hAnsi="Times New Roman" w:cs="Times New Roman"/>
          <w:b/>
          <w:bCs/>
          <w:color w:val="365F91"/>
          <w:sz w:val="24"/>
          <w:szCs w:val="24"/>
        </w:rPr>
      </w:pPr>
    </w:p>
    <w:p w:rsidR="001763F4" w:rsidRPr="00FC5C33" w:rsidRDefault="001763F4" w:rsidP="001763F4">
      <w:pPr>
        <w:widowControl w:val="0"/>
        <w:tabs>
          <w:tab w:val="left" w:pos="720"/>
        </w:tabs>
        <w:spacing w:line="294" w:lineRule="exact"/>
        <w:ind w:left="720"/>
        <w:rPr>
          <w:rFonts w:ascii="Times New Roman" w:hAnsi="Times New Roman" w:cs="Times New Roman"/>
          <w:bCs/>
          <w:color w:val="264D74"/>
          <w:sz w:val="24"/>
          <w:szCs w:val="24"/>
        </w:rPr>
      </w:pPr>
      <w:r w:rsidRPr="00FC5C33">
        <w:rPr>
          <w:rFonts w:ascii="Times New Roman" w:hAnsi="Times New Roman" w:cs="Times New Roman"/>
          <w:b/>
          <w:bCs/>
          <w:sz w:val="24"/>
          <w:szCs w:val="24"/>
        </w:rPr>
        <w:t xml:space="preserve">Questions: </w:t>
      </w:r>
      <w:r w:rsidRPr="00FC5C33">
        <w:rPr>
          <w:rFonts w:ascii="Times New Roman" w:hAnsi="Times New Roman" w:cs="Times New Roman"/>
          <w:bCs/>
          <w:sz w:val="24"/>
          <w:szCs w:val="24"/>
        </w:rPr>
        <w:t>As a TOP, do you use the Flowgate Methodology to support the calculation of AFCs on Flowgates? As a TSP, do you use the Flowgate Methodology to calculate AFCs Flowgates?</w:t>
      </w:r>
      <w:r w:rsidRPr="00FC5C33" w:rsidDel="00AD5422">
        <w:rPr>
          <w:rFonts w:ascii="Times New Roman" w:hAnsi="Times New Roman" w:cs="Times New Roman"/>
          <w:bCs/>
          <w:color w:val="264D74"/>
          <w:sz w:val="24"/>
          <w:szCs w:val="24"/>
        </w:rPr>
        <w:t xml:space="preserve"> </w:t>
      </w:r>
    </w:p>
    <w:p w:rsidR="001763F4" w:rsidRPr="009C039C" w:rsidRDefault="001763F4" w:rsidP="001763F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1763F4" w:rsidRPr="001F467C" w:rsidRDefault="001763F4" w:rsidP="001763F4">
      <w:pPr>
        <w:widowControl w:val="0"/>
        <w:tabs>
          <w:tab w:val="left" w:pos="720"/>
        </w:tabs>
        <w:spacing w:line="186" w:lineRule="exact"/>
        <w:ind w:left="720"/>
        <w:rPr>
          <w:rFonts w:ascii="Times New Roman" w:hAnsi="Times New Roman" w:cs="Times New Roman"/>
          <w:sz w:val="24"/>
          <w:szCs w:val="24"/>
        </w:rPr>
      </w:pPr>
    </w:p>
    <w:p w:rsidR="001763F4" w:rsidRPr="001F467C" w:rsidRDefault="001763F4" w:rsidP="001763F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1763F4" w:rsidRPr="001F467C" w:rsidRDefault="001763F4" w:rsidP="001763F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763F4" w:rsidRPr="001F467C" w:rsidRDefault="001763F4">
      <w:pPr>
        <w:widowControl w:val="0"/>
        <w:spacing w:line="240" w:lineRule="exact"/>
        <w:rPr>
          <w:rFonts w:ascii="Times New Roman" w:hAnsi="Times New Roman" w:cs="Times New Roman"/>
          <w:sz w:val="24"/>
          <w:szCs w:val="24"/>
        </w:rPr>
      </w:pPr>
    </w:p>
    <w:p w:rsidR="00C96948" w:rsidRPr="001F467C" w:rsidRDefault="00C96948">
      <w:pPr>
        <w:widowControl w:val="0"/>
        <w:spacing w:line="240" w:lineRule="exact"/>
        <w:rPr>
          <w:rFonts w:ascii="Times New Roman" w:hAnsi="Times New Roman" w:cs="Times New Roman"/>
          <w:sz w:val="24"/>
          <w:szCs w:val="24"/>
        </w:rPr>
      </w:pPr>
    </w:p>
    <w:p w:rsidR="00D2641B" w:rsidRPr="002B3BBC" w:rsidRDefault="00D2641B">
      <w:pPr>
        <w:widowControl w:val="0"/>
        <w:spacing w:line="294" w:lineRule="exact"/>
        <w:rPr>
          <w:rFonts w:ascii="Times New Roman" w:hAnsi="Times New Roman" w:cs="Times New Roman"/>
          <w:b/>
          <w:bCs/>
          <w:color w:val="003366"/>
          <w:sz w:val="28"/>
          <w:szCs w:val="28"/>
        </w:rPr>
      </w:pPr>
      <w:r w:rsidRPr="002B3BBC">
        <w:rPr>
          <w:rFonts w:ascii="Times New Roman" w:hAnsi="Times New Roman" w:cs="Times New Roman"/>
          <w:b/>
          <w:bCs/>
          <w:color w:val="003366"/>
          <w:sz w:val="28"/>
          <w:szCs w:val="28"/>
        </w:rPr>
        <w:t>Requirements:</w:t>
      </w:r>
    </w:p>
    <w:p w:rsidR="002D1C0A" w:rsidRPr="001F467C" w:rsidRDefault="002D1C0A" w:rsidP="002D1C0A">
      <w:pPr>
        <w:pStyle w:val="Section"/>
        <w:numPr>
          <w:ilvl w:val="0"/>
          <w:numId w:val="0"/>
        </w:numPr>
        <w:rPr>
          <w:rFonts w:ascii="Times New Roman" w:hAnsi="Times New Roman"/>
          <w:sz w:val="24"/>
        </w:rPr>
      </w:pPr>
    </w:p>
    <w:p w:rsidR="00E0426B" w:rsidRPr="004E71C2" w:rsidRDefault="00E0426B" w:rsidP="00E0426B">
      <w:pPr>
        <w:pStyle w:val="Requirement"/>
        <w:tabs>
          <w:tab w:val="clear" w:pos="720"/>
          <w:tab w:val="clear" w:pos="3240"/>
        </w:tabs>
        <w:ind w:left="1080" w:hanging="540"/>
      </w:pPr>
      <w:r w:rsidRPr="004E71C2">
        <w:t xml:space="preserve">The Transmission Service Provider shall include in its “Available Transfer Capability Implementation Document” (ATCID):  </w:t>
      </w:r>
      <w:r w:rsidRPr="004E71C2">
        <w:rPr>
          <w:rFonts w:ascii="TimesNewRomanPSMT" w:hAnsi="TimesNewRomanPSMT" w:cs="TimesNewRomanPSMT"/>
        </w:rPr>
        <w:t>[</w:t>
      </w:r>
      <w:r w:rsidRPr="004E71C2">
        <w:rPr>
          <w:i/>
          <w:iCs/>
        </w:rPr>
        <w:t xml:space="preserve">Violation Risk Factor: </w:t>
      </w:r>
      <w:r>
        <w:rPr>
          <w:i/>
          <w:iCs/>
        </w:rPr>
        <w:t>To Be Determined</w:t>
      </w:r>
      <w:r w:rsidRPr="004E71C2">
        <w:rPr>
          <w:rFonts w:ascii="TimesNewRomanPSMT" w:hAnsi="TimesNewRomanPSMT" w:cs="TimesNewRomanPSMT"/>
        </w:rPr>
        <w:t>] [</w:t>
      </w:r>
      <w:r w:rsidRPr="004E71C2">
        <w:rPr>
          <w:i/>
          <w:iCs/>
        </w:rPr>
        <w:t>Time Horizon: Operations Planning</w:t>
      </w:r>
      <w:r w:rsidRPr="004E71C2">
        <w:rPr>
          <w:rFonts w:ascii="TimesNewRomanPSMT" w:hAnsi="TimesNewRomanPSMT" w:cs="TimesNewRomanPSMT"/>
        </w:rPr>
        <w:t>]</w:t>
      </w:r>
      <w:r w:rsidRPr="004E71C2">
        <w:t xml:space="preserve"> </w:t>
      </w:r>
    </w:p>
    <w:p w:rsidR="00E0426B" w:rsidRPr="004E71C2" w:rsidRDefault="00E0426B" w:rsidP="00E0426B">
      <w:pPr>
        <w:pStyle w:val="Requirement"/>
        <w:numPr>
          <w:ilvl w:val="1"/>
          <w:numId w:val="5"/>
        </w:numPr>
        <w:tabs>
          <w:tab w:val="clear" w:pos="1726"/>
          <w:tab w:val="clear" w:pos="3240"/>
          <w:tab w:val="num" w:pos="1872"/>
        </w:tabs>
        <w:ind w:left="1872"/>
      </w:pPr>
      <w:r w:rsidRPr="004E71C2">
        <w:t>The criteria used by the Transmission Operator to identify sets of Transmission Facilities as Flowgates that are to be considered in Available Flowgate Capability (</w:t>
      </w:r>
      <w:smartTag w:uri="urn:schemas-microsoft-com:office:smarttags" w:element="stockticker">
        <w:r w:rsidRPr="004E71C2">
          <w:t>AFC</w:t>
        </w:r>
      </w:smartTag>
      <w:r w:rsidRPr="004E71C2">
        <w:t xml:space="preserve">) calculations.  </w:t>
      </w:r>
    </w:p>
    <w:p w:rsidR="00E0426B" w:rsidRPr="004E71C2" w:rsidRDefault="00E0426B" w:rsidP="00E0426B">
      <w:pPr>
        <w:pStyle w:val="Requirement"/>
        <w:numPr>
          <w:ilvl w:val="1"/>
          <w:numId w:val="5"/>
        </w:numPr>
        <w:tabs>
          <w:tab w:val="clear" w:pos="1726"/>
          <w:tab w:val="clear" w:pos="3240"/>
          <w:tab w:val="num" w:pos="1872"/>
        </w:tabs>
        <w:ind w:left="1872"/>
      </w:pPr>
      <w:r w:rsidRPr="004E71C2">
        <w:rPr>
          <w:rFonts w:ascii="TimesNewRomanPSMT" w:hAnsi="TimesNewRomanPSMT" w:cs="TimesNewRomanPSMT"/>
        </w:rPr>
        <w:t xml:space="preserve">The following information on how source and sink for transmission service is accounted for in </w:t>
      </w:r>
      <w:smartTag w:uri="urn:schemas-microsoft-com:office:smarttags" w:element="stockticker">
        <w:r w:rsidRPr="004E71C2">
          <w:rPr>
            <w:rFonts w:ascii="TimesNewRomanPSMT" w:hAnsi="TimesNewRomanPSMT" w:cs="TimesNewRomanPSMT"/>
          </w:rPr>
          <w:t>AFC</w:t>
        </w:r>
      </w:smartTag>
      <w:r w:rsidRPr="004E71C2">
        <w:rPr>
          <w:rFonts w:ascii="TimesNewRomanPSMT" w:hAnsi="TimesNewRomanPSMT" w:cs="TimesNewRomanPSMT"/>
        </w:rPr>
        <w:t xml:space="preserve"> calculations including:</w:t>
      </w:r>
    </w:p>
    <w:p w:rsidR="00E0426B" w:rsidRPr="004E71C2" w:rsidRDefault="00E0426B" w:rsidP="00E0426B">
      <w:pPr>
        <w:pStyle w:val="Requirement"/>
        <w:numPr>
          <w:ilvl w:val="2"/>
          <w:numId w:val="5"/>
        </w:numPr>
        <w:tabs>
          <w:tab w:val="clear" w:pos="1726"/>
          <w:tab w:val="clear" w:pos="3240"/>
          <w:tab w:val="num" w:pos="-5400"/>
          <w:tab w:val="left" w:pos="-2340"/>
        </w:tabs>
        <w:ind w:left="2700" w:hanging="900"/>
      </w:pPr>
      <w:r w:rsidRPr="004E71C2">
        <w:rPr>
          <w:rFonts w:ascii="TimesNewRomanPSMT" w:hAnsi="TimesNewRomanPSMT" w:cs="TimesNewRomanPSMT"/>
        </w:rPr>
        <w:t xml:space="preserve">Define if the source used for </w:t>
      </w:r>
      <w:smartTag w:uri="urn:schemas-microsoft-com:office:smarttags" w:element="stockticker">
        <w:r w:rsidRPr="004E71C2">
          <w:rPr>
            <w:rFonts w:ascii="TimesNewRomanPSMT" w:hAnsi="TimesNewRomanPSMT" w:cs="TimesNewRomanPSMT"/>
          </w:rPr>
          <w:t>AFC</w:t>
        </w:r>
      </w:smartTag>
      <w:r w:rsidRPr="004E71C2">
        <w:rPr>
          <w:rFonts w:ascii="TimesNewRomanPSMT" w:hAnsi="TimesNewRomanPSMT" w:cs="TimesNewRomanPSMT"/>
        </w:rPr>
        <w:t xml:space="preserve"> calculations is obtained from the source field or the Point of Receipt (POR) field of the transmission reservation. </w:t>
      </w:r>
    </w:p>
    <w:p w:rsidR="00E0426B" w:rsidRPr="004E71C2" w:rsidRDefault="00E0426B" w:rsidP="00E0426B">
      <w:pPr>
        <w:pStyle w:val="Requirement"/>
        <w:numPr>
          <w:ilvl w:val="2"/>
          <w:numId w:val="5"/>
        </w:numPr>
        <w:tabs>
          <w:tab w:val="clear" w:pos="1726"/>
          <w:tab w:val="clear" w:pos="3240"/>
          <w:tab w:val="num" w:pos="-5400"/>
          <w:tab w:val="left" w:pos="-2340"/>
        </w:tabs>
        <w:ind w:left="2700" w:hanging="900"/>
      </w:pPr>
      <w:r w:rsidRPr="004E71C2">
        <w:rPr>
          <w:rFonts w:ascii="TimesNewRomanPSMT" w:hAnsi="TimesNewRomanPSMT" w:cs="TimesNewRomanPSMT"/>
        </w:rPr>
        <w:t xml:space="preserve">Define if the sink used for </w:t>
      </w:r>
      <w:smartTag w:uri="urn:schemas-microsoft-com:office:smarttags" w:element="stockticker">
        <w:r w:rsidRPr="004E71C2">
          <w:rPr>
            <w:rFonts w:ascii="TimesNewRomanPSMT" w:hAnsi="TimesNewRomanPSMT" w:cs="TimesNewRomanPSMT"/>
          </w:rPr>
          <w:t>AFC</w:t>
        </w:r>
      </w:smartTag>
      <w:r w:rsidRPr="004E71C2">
        <w:rPr>
          <w:rFonts w:ascii="TimesNewRomanPSMT" w:hAnsi="TimesNewRomanPSMT" w:cs="TimesNewRomanPSMT"/>
        </w:rPr>
        <w:t xml:space="preserve"> calculations is obtained from the sink field or the Point of Delivery (POD) field of the transmission reservation.</w:t>
      </w:r>
    </w:p>
    <w:p w:rsidR="00E0426B" w:rsidRPr="004E71C2" w:rsidRDefault="00E0426B" w:rsidP="00E0426B">
      <w:pPr>
        <w:pStyle w:val="Requirement"/>
        <w:numPr>
          <w:ilvl w:val="2"/>
          <w:numId w:val="5"/>
        </w:numPr>
        <w:tabs>
          <w:tab w:val="clear" w:pos="1726"/>
          <w:tab w:val="clear" w:pos="3240"/>
          <w:tab w:val="num" w:pos="-5400"/>
          <w:tab w:val="left" w:pos="-2340"/>
        </w:tabs>
        <w:ind w:left="2700" w:hanging="900"/>
      </w:pPr>
      <w:r w:rsidRPr="004E71C2">
        <w:rPr>
          <w:rFonts w:ascii="TimesNewRomanPSMT" w:hAnsi="TimesNewRomanPSMT" w:cs="TimesNewRomanPSMT"/>
        </w:rPr>
        <w:t xml:space="preserve">The source/sink or POR/POD identification and mapping to the model. </w:t>
      </w:r>
    </w:p>
    <w:p w:rsidR="00E0426B" w:rsidRPr="004E71C2" w:rsidRDefault="00E0426B" w:rsidP="00E0426B">
      <w:pPr>
        <w:pStyle w:val="Requirement"/>
        <w:numPr>
          <w:ilvl w:val="2"/>
          <w:numId w:val="5"/>
        </w:numPr>
        <w:tabs>
          <w:tab w:val="clear" w:pos="1726"/>
          <w:tab w:val="clear" w:pos="3240"/>
          <w:tab w:val="num" w:pos="-5400"/>
          <w:tab w:val="left" w:pos="-2340"/>
        </w:tabs>
        <w:ind w:left="2700" w:hanging="900"/>
      </w:pPr>
      <w:r w:rsidRPr="004E71C2">
        <w:rPr>
          <w:rFonts w:ascii="TimesNewRomanPSMT" w:hAnsi="TimesNewRomanPSMT" w:cs="TimesNewRomanPSMT"/>
        </w:rPr>
        <w:t xml:space="preserve">If the Transmission Service Provider’s </w:t>
      </w:r>
      <w:smartTag w:uri="urn:schemas-microsoft-com:office:smarttags" w:element="stockticker">
        <w:r w:rsidRPr="004E71C2">
          <w:rPr>
            <w:rFonts w:ascii="TimesNewRomanPSMT" w:hAnsi="TimesNewRomanPSMT" w:cs="TimesNewRomanPSMT"/>
          </w:rPr>
          <w:t>AFC</w:t>
        </w:r>
      </w:smartTag>
      <w:r w:rsidRPr="004E71C2">
        <w:rPr>
          <w:rFonts w:ascii="TimesNewRomanPSMT" w:hAnsi="TimesNewRomanPSMT" w:cs="TimesNewRomanPSMT"/>
        </w:rPr>
        <w:t xml:space="preserve"> calculation process involves a grouping of generators, the ATCID must identify how these generators participate in the group.  </w:t>
      </w: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7D2FD5" w:rsidRPr="009901B0" w:rsidRDefault="007D2FD5" w:rsidP="009901B0">
      <w:pPr>
        <w:pStyle w:val="Heading1"/>
      </w:pPr>
      <w:r w:rsidRPr="009901B0">
        <w:t>R1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8342B8">
        <w:rPr>
          <w:rFonts w:ascii="Times New Roman" w:hAnsi="Times New Roman" w:cs="Times New Roman"/>
          <w:b/>
          <w:bCs/>
          <w:color w:val="264D74"/>
          <w:sz w:val="24"/>
          <w:szCs w:val="24"/>
        </w:rPr>
        <w:t>30-2</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7D6EAD" w:rsidRPr="005E50A4" w:rsidRDefault="00F94880" w:rsidP="007D6EAD">
      <w:pPr>
        <w:ind w:left="1530" w:hanging="1174"/>
        <w:rPr>
          <w:rFonts w:ascii="Times New Roman" w:hAnsi="Times New Roman" w:cs="Times New Roman"/>
          <w:color w:val="365F91"/>
          <w:sz w:val="24"/>
          <w:szCs w:val="24"/>
        </w:rPr>
      </w:pPr>
      <w:r>
        <w:rPr>
          <w:rFonts w:ascii="Times New Roman" w:hAnsi="Times New Roman" w:cs="Times New Roman"/>
          <w:b/>
          <w:bCs/>
          <w:color w:val="365F91"/>
          <w:sz w:val="24"/>
          <w:szCs w:val="24"/>
        </w:rPr>
        <w:t xml:space="preserve">       </w:t>
      </w:r>
      <w:r w:rsidR="007D6EAD" w:rsidRPr="005E50A4">
        <w:rPr>
          <w:rFonts w:ascii="Times New Roman" w:hAnsi="Times New Roman" w:cs="Times New Roman"/>
          <w:b/>
          <w:bCs/>
          <w:color w:val="365F91"/>
          <w:sz w:val="24"/>
          <w:szCs w:val="24"/>
        </w:rPr>
        <w:t xml:space="preserve">  </w:t>
      </w:r>
      <w:r w:rsidR="007D6EAD" w:rsidRPr="005E50A4">
        <w:rPr>
          <w:rFonts w:ascii="Times New Roman" w:hAnsi="Times New Roman" w:cs="Times New Roman"/>
          <w:bCs/>
          <w:color w:val="365F91"/>
          <w:sz w:val="24"/>
          <w:szCs w:val="24"/>
        </w:rPr>
        <w:t xml:space="preserve">___ </w:t>
      </w:r>
      <w:r w:rsidR="007D6EAD">
        <w:rPr>
          <w:rFonts w:ascii="Times New Roman" w:hAnsi="Times New Roman" w:cs="Times New Roman"/>
          <w:color w:val="365F91"/>
          <w:sz w:val="24"/>
          <w:szCs w:val="24"/>
        </w:rPr>
        <w:t>Verify the TSP included the following in its ATCID:</w:t>
      </w:r>
    </w:p>
    <w:p w:rsidR="007D6EAD" w:rsidRPr="005E50A4" w:rsidRDefault="007D6EAD" w:rsidP="007D6EAD">
      <w:pPr>
        <w:ind w:left="356"/>
        <w:rPr>
          <w:rFonts w:ascii="Times New Roman" w:hAnsi="Times New Roman" w:cs="Times New Roman"/>
          <w:color w:val="365F91"/>
          <w:sz w:val="24"/>
          <w:szCs w:val="24"/>
        </w:rPr>
      </w:pPr>
    </w:p>
    <w:p w:rsidR="007D6EAD" w:rsidRDefault="007D6EAD" w:rsidP="007D6EAD">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The criteria used by the TOP to identify sets of Transmission Facilities as Flowgates that </w:t>
      </w:r>
      <w:r>
        <w:rPr>
          <w:rFonts w:ascii="Times New Roman" w:hAnsi="Times New Roman" w:cs="Times New Roman"/>
          <w:color w:val="365F91"/>
          <w:sz w:val="24"/>
          <w:szCs w:val="24"/>
        </w:rPr>
        <w:tab/>
      </w:r>
    </w:p>
    <w:p w:rsidR="007D6EAD" w:rsidRDefault="007D6EAD" w:rsidP="007D6EAD">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are to be considered in AFC calculations.</w:t>
      </w:r>
    </w:p>
    <w:p w:rsidR="007D6EAD" w:rsidRDefault="007D6EAD" w:rsidP="007D6EAD">
      <w:pPr>
        <w:ind w:left="360"/>
        <w:rPr>
          <w:rFonts w:ascii="Times New Roman" w:hAnsi="Times New Roman" w:cs="Times New Roman"/>
          <w:color w:val="365F91"/>
          <w:sz w:val="24"/>
          <w:szCs w:val="24"/>
        </w:rPr>
      </w:pPr>
    </w:p>
    <w:p w:rsidR="007D6EAD" w:rsidRDefault="007D6EAD" w:rsidP="007D6EAD">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Information identifying how source and sink for transmission service is accounted for in </w:t>
      </w:r>
      <w:r>
        <w:rPr>
          <w:rFonts w:ascii="Times New Roman" w:hAnsi="Times New Roman" w:cs="Times New Roman"/>
          <w:color w:val="365F91"/>
          <w:sz w:val="24"/>
          <w:szCs w:val="24"/>
        </w:rPr>
        <w:tab/>
      </w:r>
    </w:p>
    <w:p w:rsidR="007D6EAD" w:rsidRDefault="007D6EAD" w:rsidP="007D6EAD">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AFC calculations including:</w:t>
      </w:r>
    </w:p>
    <w:p w:rsidR="007D6EAD" w:rsidRDefault="007D6EAD" w:rsidP="007D6EAD">
      <w:pPr>
        <w:ind w:left="360"/>
        <w:rPr>
          <w:rFonts w:ascii="Times New Roman" w:hAnsi="Times New Roman" w:cs="Times New Roman"/>
          <w:color w:val="365F91"/>
          <w:sz w:val="24"/>
          <w:szCs w:val="24"/>
        </w:rPr>
      </w:pPr>
    </w:p>
    <w:p w:rsidR="007D6EA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If the source used for AFC calculation is obtained from the:</w:t>
      </w:r>
    </w:p>
    <w:p w:rsidR="007D6EAD" w:rsidRDefault="007D6EAD" w:rsidP="007D6EAD">
      <w:pPr>
        <w:tabs>
          <w:tab w:val="left" w:pos="1440"/>
          <w:tab w:val="left" w:pos="1530"/>
          <w:tab w:val="left" w:pos="1980"/>
        </w:tabs>
        <w:ind w:left="360"/>
        <w:rPr>
          <w:rFonts w:ascii="Times New Roman" w:hAnsi="Times New Roman" w:cs="Times New Roman"/>
          <w:color w:val="365F91"/>
          <w:sz w:val="24"/>
          <w:szCs w:val="24"/>
        </w:rPr>
      </w:pPr>
    </w:p>
    <w:p w:rsidR="007D6EAD" w:rsidRPr="005E50A4" w:rsidRDefault="007D6EAD" w:rsidP="007D6EAD">
      <w:pPr>
        <w:tabs>
          <w:tab w:val="left" w:pos="1440"/>
          <w:tab w:val="left" w:pos="153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00F94880">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Source field of the transmission reservation</w:t>
      </w:r>
    </w:p>
    <w:p w:rsidR="007D6EAD" w:rsidRDefault="007D6EAD" w:rsidP="007D6EAD">
      <w:pPr>
        <w:ind w:left="360"/>
        <w:rPr>
          <w:rFonts w:ascii="Times New Roman" w:hAnsi="Times New Roman" w:cs="Times New Roman"/>
          <w:color w:val="365F91"/>
          <w:sz w:val="24"/>
          <w:szCs w:val="24"/>
        </w:rPr>
      </w:pPr>
    </w:p>
    <w:p w:rsidR="007D6EAD" w:rsidRDefault="007D6EAD" w:rsidP="007D6EAD">
      <w:pPr>
        <w:tabs>
          <w:tab w:val="left" w:pos="1440"/>
          <w:tab w:val="left" w:pos="1980"/>
        </w:tabs>
        <w:ind w:left="360"/>
        <w:rPr>
          <w:rFonts w:ascii="Times New Roman" w:hAnsi="Times New Roman" w:cs="Times New Roman"/>
          <w:bCs/>
          <w:color w:val="365F91"/>
          <w:sz w:val="24"/>
          <w:szCs w:val="24"/>
        </w:rPr>
      </w:pP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sidR="00F94880">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Pr>
          <w:rFonts w:ascii="Times New Roman" w:hAnsi="Times New Roman" w:cs="Times New Roman"/>
          <w:bCs/>
          <w:color w:val="365F91"/>
          <w:sz w:val="24"/>
          <w:szCs w:val="24"/>
        </w:rPr>
        <w:t>Or</w:t>
      </w:r>
    </w:p>
    <w:p w:rsidR="007D6EAD" w:rsidRPr="005E50A4" w:rsidRDefault="007D6EAD" w:rsidP="007D6EAD">
      <w:pPr>
        <w:tabs>
          <w:tab w:val="left" w:pos="144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00F94880">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POR field of the transmission reservation</w:t>
      </w:r>
    </w:p>
    <w:p w:rsidR="007D6EAD" w:rsidRDefault="007D6EAD" w:rsidP="007D6EAD">
      <w:pPr>
        <w:tabs>
          <w:tab w:val="left" w:pos="1440"/>
          <w:tab w:val="left" w:pos="1980"/>
        </w:tabs>
        <w:rPr>
          <w:rFonts w:ascii="Times New Roman" w:hAnsi="Times New Roman" w:cs="Times New Roman"/>
          <w:bCs/>
          <w:color w:val="365F91"/>
          <w:sz w:val="24"/>
          <w:szCs w:val="24"/>
        </w:rPr>
      </w:pPr>
    </w:p>
    <w:p w:rsidR="007D6EAD" w:rsidRDefault="007D6EAD" w:rsidP="007D6EAD">
      <w:pPr>
        <w:tabs>
          <w:tab w:val="left" w:pos="1440"/>
          <w:tab w:val="left" w:pos="153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If the sink used for AFC calculation is obtained from the:</w:t>
      </w:r>
    </w:p>
    <w:p w:rsidR="007D6EAD" w:rsidRPr="005E50A4" w:rsidRDefault="007D6EAD" w:rsidP="007D6EAD">
      <w:pPr>
        <w:tabs>
          <w:tab w:val="left" w:pos="1440"/>
          <w:tab w:val="left" w:pos="153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00F94880">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Sink field of the transmission reservation</w:t>
      </w:r>
    </w:p>
    <w:p w:rsidR="007D6EAD" w:rsidRDefault="007D6EAD" w:rsidP="007D6EAD">
      <w:pPr>
        <w:ind w:left="360"/>
        <w:rPr>
          <w:rFonts w:ascii="Times New Roman" w:hAnsi="Times New Roman" w:cs="Times New Roman"/>
          <w:color w:val="365F91"/>
          <w:sz w:val="24"/>
          <w:szCs w:val="24"/>
        </w:rPr>
      </w:pPr>
    </w:p>
    <w:p w:rsidR="007D6EAD" w:rsidRDefault="007D6EAD" w:rsidP="007D6EAD">
      <w:pPr>
        <w:tabs>
          <w:tab w:val="left" w:pos="1440"/>
          <w:tab w:val="left" w:pos="1980"/>
        </w:tabs>
        <w:ind w:left="360"/>
        <w:rPr>
          <w:rFonts w:ascii="Times New Roman" w:hAnsi="Times New Roman" w:cs="Times New Roman"/>
          <w:bCs/>
          <w:color w:val="365F91"/>
          <w:sz w:val="24"/>
          <w:szCs w:val="24"/>
        </w:rPr>
      </w:pP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Pr>
          <w:rFonts w:ascii="Times New Roman" w:hAnsi="Times New Roman" w:cs="Times New Roman"/>
          <w:bCs/>
          <w:color w:val="365F91"/>
          <w:sz w:val="24"/>
          <w:szCs w:val="24"/>
        </w:rPr>
        <w:t>Or</w:t>
      </w:r>
    </w:p>
    <w:p w:rsidR="007D6EAD" w:rsidRDefault="007D6EAD" w:rsidP="007D6EAD">
      <w:pPr>
        <w:tabs>
          <w:tab w:val="left" w:pos="144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00F94880">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POD field of the transmission reservation</w:t>
      </w:r>
    </w:p>
    <w:p w:rsidR="007D6EAD" w:rsidRDefault="007D6EAD" w:rsidP="007D6EAD">
      <w:pPr>
        <w:tabs>
          <w:tab w:val="left" w:pos="1440"/>
          <w:tab w:val="left" w:pos="1980"/>
        </w:tabs>
        <w:ind w:left="360"/>
        <w:rPr>
          <w:rFonts w:ascii="Times New Roman" w:hAnsi="Times New Roman" w:cs="Times New Roman"/>
          <w:color w:val="365F91"/>
          <w:sz w:val="24"/>
          <w:szCs w:val="24"/>
        </w:rPr>
      </w:pPr>
    </w:p>
    <w:p w:rsidR="007D6EAD" w:rsidRDefault="007D6EAD" w:rsidP="007D6EAD">
      <w:pPr>
        <w:tabs>
          <w:tab w:val="left" w:pos="144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The source/sink or POR/POD identification and mapping to the model</w:t>
      </w:r>
    </w:p>
    <w:p w:rsidR="007D6EAD" w:rsidRDefault="007D6EAD" w:rsidP="007D6EAD">
      <w:pPr>
        <w:tabs>
          <w:tab w:val="left" w:pos="1440"/>
          <w:tab w:val="left" w:pos="1980"/>
        </w:tabs>
        <w:ind w:left="360"/>
        <w:rPr>
          <w:rFonts w:ascii="Times New Roman" w:hAnsi="Times New Roman" w:cs="Times New Roman"/>
          <w:color w:val="365F91"/>
          <w:sz w:val="24"/>
          <w:szCs w:val="24"/>
        </w:rPr>
      </w:pPr>
    </w:p>
    <w:p w:rsidR="007D6EAD" w:rsidRDefault="007D6EAD" w:rsidP="007D6EAD">
      <w:pPr>
        <w:tabs>
          <w:tab w:val="left" w:pos="144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POD field of the transmission reservation</w:t>
      </w:r>
    </w:p>
    <w:p w:rsidR="007D6EAD" w:rsidRDefault="007D6EAD" w:rsidP="007D6EAD">
      <w:pPr>
        <w:tabs>
          <w:tab w:val="left" w:pos="1440"/>
          <w:tab w:val="left" w:pos="1980"/>
        </w:tabs>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Pr>
          <w:rFonts w:ascii="Times New Roman" w:hAnsi="Times New Roman" w:cs="Times New Roman"/>
          <w:b/>
          <w:bCs/>
          <w:color w:val="365F91"/>
          <w:sz w:val="24"/>
          <w:szCs w:val="24"/>
        </w:rPr>
        <w:tab/>
      </w:r>
      <w:r>
        <w:rPr>
          <w:rFonts w:ascii="Times New Roman" w:hAnsi="Times New Roman" w:cs="Times New Roman"/>
          <w:b/>
          <w:bCs/>
          <w:color w:val="365F91"/>
          <w:sz w:val="24"/>
          <w:szCs w:val="24"/>
        </w:rPr>
        <w:tab/>
      </w:r>
    </w:p>
    <w:p w:rsidR="007D6EAD" w:rsidRDefault="007D6EAD" w:rsidP="007D6EAD">
      <w:pPr>
        <w:tabs>
          <w:tab w:val="left" w:pos="1350"/>
          <w:tab w:val="left" w:pos="1530"/>
        </w:tabs>
        <w:ind w:left="1980" w:hanging="1974"/>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Does the TSP’s AFC calculation process involve a grouping of generation?</w:t>
      </w:r>
    </w:p>
    <w:p w:rsidR="007D6EAD" w:rsidRDefault="007D6EAD" w:rsidP="007D6EAD">
      <w:pPr>
        <w:tabs>
          <w:tab w:val="left" w:pos="1350"/>
          <w:tab w:val="left" w:pos="1530"/>
        </w:tabs>
        <w:ind w:left="1980" w:hanging="1974"/>
        <w:rPr>
          <w:rFonts w:ascii="Times New Roman" w:hAnsi="Times New Roman" w:cs="Times New Roman"/>
          <w:color w:val="365F91"/>
          <w:sz w:val="24"/>
          <w:szCs w:val="24"/>
        </w:rPr>
      </w:pPr>
    </w:p>
    <w:p w:rsidR="007D6EAD" w:rsidRDefault="007D6EAD" w:rsidP="007D6EAD">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t>If yes</w:t>
      </w:r>
    </w:p>
    <w:p w:rsidR="007D6EAD" w:rsidRDefault="007D6EAD" w:rsidP="007D6EAD">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the ATCID identifies how the generators participate in the group.</w:t>
      </w:r>
    </w:p>
    <w:p w:rsidR="00001BFE" w:rsidRPr="001F467C" w:rsidRDefault="00001BFE" w:rsidP="007D6EAD">
      <w:pPr>
        <w:ind w:left="1530" w:hanging="1174"/>
        <w:rPr>
          <w:rFonts w:ascii="Times New Roman" w:hAnsi="Times New Roman" w:cs="Times New Roman"/>
          <w:b/>
          <w:bCs/>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001BFE" w:rsidRDefault="00001BFE" w:rsidP="00001BFE">
      <w:pPr>
        <w:widowControl w:val="0"/>
        <w:spacing w:line="281" w:lineRule="exact"/>
        <w:rPr>
          <w:rFonts w:ascii="Times New Roman" w:hAnsi="Times New Roman" w:cs="Times New Roman"/>
          <w:sz w:val="24"/>
          <w:szCs w:val="24"/>
        </w:rPr>
      </w:pPr>
    </w:p>
    <w:p w:rsidR="00FC5C33" w:rsidRPr="001F467C" w:rsidRDefault="00FC5C33" w:rsidP="00001BFE">
      <w:pPr>
        <w:widowControl w:val="0"/>
        <w:spacing w:line="281" w:lineRule="exact"/>
        <w:rPr>
          <w:rFonts w:ascii="Times New Roman" w:hAnsi="Times New Roman" w:cs="Times New Roman"/>
          <w:sz w:val="24"/>
          <w:szCs w:val="24"/>
        </w:rPr>
      </w:pPr>
    </w:p>
    <w:p w:rsidR="00E0426B" w:rsidRPr="004E71C2" w:rsidRDefault="00E0426B" w:rsidP="00E0426B">
      <w:pPr>
        <w:pStyle w:val="Requirement"/>
        <w:tabs>
          <w:tab w:val="clear" w:pos="720"/>
          <w:tab w:val="clear" w:pos="3240"/>
        </w:tabs>
        <w:ind w:left="1080" w:hanging="540"/>
      </w:pPr>
      <w:r w:rsidRPr="004E71C2">
        <w:t xml:space="preserve">The Transmission Operator shall perform the following: </w:t>
      </w:r>
      <w:r w:rsidRPr="004E71C2">
        <w:rPr>
          <w:rFonts w:ascii="TimesNewRomanPSMT" w:hAnsi="TimesNewRomanPSMT" w:cs="TimesNewRomanPSMT"/>
        </w:rPr>
        <w:t>[</w:t>
      </w:r>
      <w:r w:rsidRPr="004E71C2">
        <w:rPr>
          <w:i/>
          <w:iCs/>
        </w:rPr>
        <w:t xml:space="preserve">Violation Risk Factor: </w:t>
      </w:r>
      <w:r>
        <w:rPr>
          <w:i/>
          <w:iCs/>
        </w:rPr>
        <w:t>To Be Determined</w:t>
      </w:r>
      <w:r w:rsidRPr="004E71C2">
        <w:rPr>
          <w:rFonts w:ascii="TimesNewRomanPSMT" w:hAnsi="TimesNewRomanPSMT" w:cs="TimesNewRomanPSMT"/>
        </w:rPr>
        <w:t>] [</w:t>
      </w:r>
      <w:r w:rsidRPr="004E71C2">
        <w:rPr>
          <w:i/>
          <w:iCs/>
        </w:rPr>
        <w:t>Time Horizon: Operations Planning</w:t>
      </w:r>
      <w:r w:rsidRPr="004E71C2">
        <w:rPr>
          <w:rFonts w:ascii="TimesNewRomanPSMT" w:hAnsi="TimesNewRomanPSMT" w:cs="TimesNewRomanPSMT"/>
        </w:rPr>
        <w:t>]</w:t>
      </w:r>
    </w:p>
    <w:p w:rsidR="00E0426B" w:rsidRDefault="00E0426B" w:rsidP="00E0426B">
      <w:pPr>
        <w:pStyle w:val="Requirement"/>
        <w:numPr>
          <w:ilvl w:val="1"/>
          <w:numId w:val="5"/>
        </w:numPr>
        <w:tabs>
          <w:tab w:val="clear" w:pos="1726"/>
          <w:tab w:val="clear" w:pos="3240"/>
          <w:tab w:val="num" w:pos="-5400"/>
          <w:tab w:val="num" w:pos="1800"/>
        </w:tabs>
        <w:ind w:left="1800" w:hanging="720"/>
      </w:pPr>
      <w:r w:rsidRPr="00C015FA">
        <w:t>Include Flowgates</w:t>
      </w:r>
      <w:r w:rsidRPr="00333D64">
        <w:t xml:space="preserve"> </w:t>
      </w:r>
      <w:r>
        <w:t>use</w:t>
      </w:r>
      <w:r w:rsidRPr="00333D64">
        <w:t xml:space="preserve">d in the </w:t>
      </w:r>
      <w:smartTag w:uri="urn:schemas-microsoft-com:office:smarttags" w:element="stockticker">
        <w:r w:rsidRPr="00333D64">
          <w:t>AFC</w:t>
        </w:r>
      </w:smartTag>
      <w:r w:rsidRPr="00333D64">
        <w:t xml:space="preserve"> process based, at a minimum, on the following criteria:</w:t>
      </w:r>
      <w:r>
        <w:t xml:space="preserve"> </w:t>
      </w:r>
    </w:p>
    <w:p w:rsidR="00E0426B" w:rsidRDefault="00E0426B" w:rsidP="00E0426B">
      <w:pPr>
        <w:pStyle w:val="Requirement"/>
        <w:numPr>
          <w:ilvl w:val="2"/>
          <w:numId w:val="5"/>
        </w:numPr>
        <w:tabs>
          <w:tab w:val="clear" w:pos="1726"/>
          <w:tab w:val="clear" w:pos="3240"/>
          <w:tab w:val="num" w:pos="-5400"/>
          <w:tab w:val="left" w:pos="-2340"/>
        </w:tabs>
        <w:ind w:left="2700" w:hanging="900"/>
      </w:pPr>
      <w:r>
        <w:t>Results of a first Contingency transfer analysis for ATC Paths internal to a Transmission Operator’s system up to the path capability such that at a minimum the first three limiting Elements</w:t>
      </w:r>
      <w:r w:rsidRPr="00C95D4C">
        <w:t xml:space="preserve"> </w:t>
      </w:r>
      <w:r>
        <w:t>and their worst associated Contingency combinations with an OTDF of at least 5% and within the Transmission Operator’s system are included as Flowgates.</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t xml:space="preserve">Use first Contingency criteria consistent with those first Contingency criteria used in </w:t>
      </w:r>
      <w:r w:rsidRPr="004909F7">
        <w:t>planning of operations</w:t>
      </w:r>
      <w:r>
        <w:t xml:space="preserve"> for the applicable time periods, including use of Special Protection Systems.</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t>Only the most limiting element in a series configuration needs to be included as a Flowgate.</w:t>
      </w:r>
      <w:r w:rsidRPr="008A1626">
        <w:t xml:space="preserve"> </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rsidRPr="005D5F3B">
        <w:t>If any limiting element is kept within its limit for its associated worst Contingency by operating within the limits of another Flowgate, then no new Flowgate needs to be established for such limiting elements or Contingencies.</w:t>
      </w:r>
    </w:p>
    <w:p w:rsidR="00E0426B" w:rsidRDefault="00E0426B" w:rsidP="00E0426B">
      <w:pPr>
        <w:pStyle w:val="Requirement"/>
        <w:numPr>
          <w:ilvl w:val="2"/>
          <w:numId w:val="5"/>
        </w:numPr>
        <w:tabs>
          <w:tab w:val="clear" w:pos="1726"/>
          <w:tab w:val="clear" w:pos="3240"/>
          <w:tab w:val="num" w:pos="-5400"/>
          <w:tab w:val="left" w:pos="-2340"/>
        </w:tabs>
        <w:ind w:left="2700" w:hanging="900"/>
      </w:pPr>
      <w:r>
        <w:t>Results of a first Contingency transfer analysis from all adjacent Balancing Authority source and sink (as defined in the ATCID) combinations up to the path capability such that at a minimum the first three limiting Elements and their worst associated Contingency combinations with an Outage Transfer Distribution Factor (OTDF) of at least 5% and within the Transmission Operator’s system are included as Flowgates unless the interface between such adjacent Balancing Authorities is accounted for using another ATC methodology.</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t xml:space="preserve">Use first Contingency criteria consistent with those first Contingency criteria used in </w:t>
      </w:r>
      <w:r w:rsidRPr="004909F7">
        <w:t>planning of operations</w:t>
      </w:r>
      <w:r>
        <w:t xml:space="preserve"> for the applicable time periods, including use of Special Protection Systems.</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t>Only the most limiting element in a series configuration needs to be included as a Flowgate.</w:t>
      </w:r>
    </w:p>
    <w:p w:rsidR="00E0426B" w:rsidRDefault="00E0426B" w:rsidP="00E0426B">
      <w:pPr>
        <w:pStyle w:val="Requirement"/>
        <w:numPr>
          <w:ilvl w:val="3"/>
          <w:numId w:val="5"/>
        </w:numPr>
        <w:tabs>
          <w:tab w:val="clear" w:pos="2158"/>
          <w:tab w:val="clear" w:pos="3240"/>
          <w:tab w:val="left" w:pos="-2160"/>
          <w:tab w:val="left" w:pos="2700"/>
          <w:tab w:val="num" w:pos="3600"/>
        </w:tabs>
        <w:ind w:left="3600" w:hanging="900"/>
      </w:pPr>
      <w:r w:rsidRPr="005D5F3B">
        <w:t>If any limiting element is kept within its limit for its associated worst Contingency by operating within the limits of another Flowgate, then no new Flowgate needs to be established for such limiting elements or Contingencies.</w:t>
      </w:r>
    </w:p>
    <w:p w:rsidR="00E0426B" w:rsidRDefault="00E0426B" w:rsidP="00E0426B">
      <w:pPr>
        <w:pStyle w:val="Requirement"/>
        <w:numPr>
          <w:ilvl w:val="2"/>
          <w:numId w:val="5"/>
        </w:numPr>
        <w:tabs>
          <w:tab w:val="clear" w:pos="1726"/>
          <w:tab w:val="clear" w:pos="3240"/>
          <w:tab w:val="left" w:pos="-2160"/>
        </w:tabs>
        <w:ind w:left="2700" w:hanging="900"/>
      </w:pPr>
      <w:r>
        <w:t xml:space="preserve">Any limiting Element/Contingency combination at least within </w:t>
      </w:r>
      <w:r w:rsidRPr="00AA04EF">
        <w:t>its Reliability Coordinator’s Area</w:t>
      </w:r>
      <w:r>
        <w:t xml:space="preserve"> that has been subjected to an Interconnection-wide congestion management procedure </w:t>
      </w:r>
      <w:r w:rsidRPr="00C71145">
        <w:t>within the last 12 months</w:t>
      </w:r>
      <w:r>
        <w:t xml:space="preserve">, unless the limiting Element/Contingency combination is accounted for using another ATC methodology or was created to address temporary operating conditions.  </w:t>
      </w:r>
    </w:p>
    <w:p w:rsidR="00E0426B" w:rsidRDefault="00E0426B" w:rsidP="00E0426B">
      <w:pPr>
        <w:pStyle w:val="Requirement"/>
        <w:numPr>
          <w:ilvl w:val="2"/>
          <w:numId w:val="5"/>
        </w:numPr>
        <w:tabs>
          <w:tab w:val="clear" w:pos="1726"/>
          <w:tab w:val="clear" w:pos="3240"/>
          <w:tab w:val="left" w:pos="-2160"/>
        </w:tabs>
        <w:ind w:left="2700" w:hanging="900"/>
      </w:pPr>
      <w:r>
        <w:t>Any limiting Element/Contingency combination within the Transmission model that has been requested to be included by any other Transmission Service Provider using the Flowgate Methodology or Area Interchange Methodology, where:</w:t>
      </w:r>
    </w:p>
    <w:p w:rsidR="00E0426B" w:rsidRDefault="00E0426B" w:rsidP="00E0426B">
      <w:pPr>
        <w:pStyle w:val="Requirement"/>
        <w:numPr>
          <w:ilvl w:val="3"/>
          <w:numId w:val="5"/>
        </w:numPr>
        <w:tabs>
          <w:tab w:val="clear" w:pos="2158"/>
          <w:tab w:val="clear" w:pos="3240"/>
          <w:tab w:val="left" w:pos="-5400"/>
          <w:tab w:val="left" w:pos="-2160"/>
          <w:tab w:val="num" w:pos="3600"/>
        </w:tabs>
        <w:ind w:left="3600" w:hanging="900"/>
      </w:pPr>
      <w:r>
        <w:t>The coordination of the</w:t>
      </w:r>
      <w:r w:rsidRPr="00B0288D">
        <w:t xml:space="preserve"> </w:t>
      </w:r>
      <w:r>
        <w:t xml:space="preserve">limiting Element/Contingency combination is not already addressed through a different methodology, and </w:t>
      </w:r>
    </w:p>
    <w:p w:rsidR="00E0426B" w:rsidRDefault="00E0426B" w:rsidP="00E0426B">
      <w:pPr>
        <w:pStyle w:val="ListBullet2"/>
        <w:ind w:left="4140" w:hanging="540"/>
      </w:pPr>
      <w:r>
        <w:t xml:space="preserve">Any generator within the Transmission Service Provider’s area has at least a 5% </w:t>
      </w:r>
      <w:r w:rsidRPr="008855C9">
        <w:t xml:space="preserve">Power Transfer Distribution Factor </w:t>
      </w:r>
      <w:r>
        <w:t>(PTDF) or Outage Transfer Distribution Factor (OTDF) impact on the Flowgate when delivered to the aggregate load of its own area, or</w:t>
      </w:r>
    </w:p>
    <w:p w:rsidR="00E0426B" w:rsidRDefault="00E0426B" w:rsidP="00E0426B">
      <w:pPr>
        <w:pStyle w:val="ListBullet2"/>
        <w:ind w:left="4140" w:hanging="540"/>
      </w:pPr>
      <w:r>
        <w:t xml:space="preserve">A transfer from any Balancing Area within the Transmission Service Provider’s area to a Balancing Area adjacent has at least a 5% PTDF or OTDF impact on the Flowgate. </w:t>
      </w:r>
    </w:p>
    <w:p w:rsidR="00E0426B" w:rsidRDefault="00E0426B" w:rsidP="00E0426B">
      <w:pPr>
        <w:pStyle w:val="ListBullet2"/>
        <w:ind w:left="4140" w:hanging="540"/>
      </w:pPr>
      <w:r>
        <w:t>The Transmission Operator may utilize</w:t>
      </w:r>
      <w:r w:rsidRPr="00C71145">
        <w:t xml:space="preserve"> distribution factors less than 5%</w:t>
      </w:r>
      <w:r>
        <w:t xml:space="preserve"> if desired</w:t>
      </w:r>
      <w:r w:rsidRPr="00C71145">
        <w:t>.</w:t>
      </w:r>
    </w:p>
    <w:p w:rsidR="00E0426B" w:rsidRDefault="00E0426B" w:rsidP="00E0426B">
      <w:pPr>
        <w:pStyle w:val="Requirement"/>
        <w:numPr>
          <w:ilvl w:val="3"/>
          <w:numId w:val="5"/>
        </w:numPr>
        <w:tabs>
          <w:tab w:val="clear" w:pos="2158"/>
          <w:tab w:val="clear" w:pos="3240"/>
          <w:tab w:val="left" w:pos="-2160"/>
          <w:tab w:val="num" w:pos="3600"/>
        </w:tabs>
        <w:ind w:left="3600" w:hanging="900"/>
      </w:pPr>
      <w:r>
        <w:t>The limiting Element/Contingency combination is included in the requesting Transmission Service Provider’s methodology.</w:t>
      </w:r>
    </w:p>
    <w:p w:rsidR="00E0426B" w:rsidRDefault="00E0426B" w:rsidP="00E0426B">
      <w:pPr>
        <w:pStyle w:val="Requirement"/>
        <w:numPr>
          <w:ilvl w:val="1"/>
          <w:numId w:val="5"/>
        </w:numPr>
        <w:tabs>
          <w:tab w:val="clear" w:pos="1726"/>
          <w:tab w:val="clear" w:pos="3240"/>
          <w:tab w:val="left" w:pos="-2160"/>
          <w:tab w:val="num" w:pos="1800"/>
        </w:tabs>
        <w:ind w:left="1800" w:hanging="720"/>
      </w:pPr>
      <w:r w:rsidRPr="00F90371">
        <w:t xml:space="preserve">At a minimum, </w:t>
      </w:r>
      <w:r>
        <w:t>establish</w:t>
      </w:r>
      <w:r w:rsidRPr="00F90371">
        <w:t xml:space="preserve"> </w:t>
      </w:r>
      <w:r>
        <w:t>a</w:t>
      </w:r>
      <w:r w:rsidRPr="00F90371">
        <w:t xml:space="preserve"> list of Flowgates </w:t>
      </w:r>
      <w:r>
        <w:t xml:space="preserve">by </w:t>
      </w:r>
      <w:r w:rsidRPr="00F90371">
        <w:t>creat</w:t>
      </w:r>
      <w:r>
        <w:t>ing</w:t>
      </w:r>
      <w:r w:rsidRPr="00F90371">
        <w:t>, modify</w:t>
      </w:r>
      <w:r>
        <w:t>ing</w:t>
      </w:r>
      <w:r w:rsidRPr="00F90371">
        <w:t>, or delet</w:t>
      </w:r>
      <w:r>
        <w:t>ing</w:t>
      </w:r>
      <w:r w:rsidRPr="00F90371">
        <w:t xml:space="preserve"> Flowgate definitions</w:t>
      </w:r>
      <w:r>
        <w:t xml:space="preserve"> </w:t>
      </w:r>
      <w:r w:rsidRPr="00F90371">
        <w:t xml:space="preserve">at least once per calendar </w:t>
      </w:r>
      <w:r>
        <w:t>year</w:t>
      </w:r>
      <w:r w:rsidRPr="00F90371">
        <w:t>.</w:t>
      </w:r>
      <w:r>
        <w:t xml:space="preserve"> </w:t>
      </w:r>
    </w:p>
    <w:p w:rsidR="00E0426B" w:rsidRPr="00F90371" w:rsidRDefault="00E0426B" w:rsidP="00E0426B">
      <w:pPr>
        <w:pStyle w:val="Requirement"/>
        <w:numPr>
          <w:ilvl w:val="1"/>
          <w:numId w:val="5"/>
        </w:numPr>
        <w:tabs>
          <w:tab w:val="clear" w:pos="1726"/>
          <w:tab w:val="clear" w:pos="3240"/>
          <w:tab w:val="left" w:pos="-2160"/>
          <w:tab w:val="num" w:pos="1800"/>
        </w:tabs>
        <w:ind w:left="1800" w:hanging="720"/>
      </w:pPr>
      <w:r w:rsidRPr="00F90371">
        <w:t>At a minimum,</w:t>
      </w:r>
      <w:r>
        <w:t xml:space="preserve"> establish a</w:t>
      </w:r>
      <w:r w:rsidRPr="00F90371">
        <w:t xml:space="preserve"> list of Flowgates </w:t>
      </w:r>
      <w:r>
        <w:t>by</w:t>
      </w:r>
      <w:r w:rsidRPr="00F90371">
        <w:t xml:space="preserve"> creat</w:t>
      </w:r>
      <w:r>
        <w:t>ing</w:t>
      </w:r>
      <w:r w:rsidRPr="00F90371">
        <w:t>, modify</w:t>
      </w:r>
      <w:r>
        <w:t>ing</w:t>
      </w:r>
      <w:r w:rsidRPr="00F90371">
        <w:t>, or delet</w:t>
      </w:r>
      <w:r>
        <w:t>ing</w:t>
      </w:r>
      <w:r w:rsidRPr="00F90371">
        <w:t xml:space="preserve"> Flowgates </w:t>
      </w:r>
      <w:r>
        <w:t>that have been requested as part of R2.1.4 within thirty calendar days from the request</w:t>
      </w:r>
      <w:r w:rsidRPr="00F90371">
        <w:t>.</w:t>
      </w:r>
    </w:p>
    <w:p w:rsidR="00E0426B" w:rsidRPr="00F90371" w:rsidRDefault="00E0426B" w:rsidP="00E0426B">
      <w:pPr>
        <w:pStyle w:val="Requirement"/>
        <w:numPr>
          <w:ilvl w:val="1"/>
          <w:numId w:val="5"/>
        </w:numPr>
        <w:tabs>
          <w:tab w:val="clear" w:pos="1726"/>
          <w:tab w:val="clear" w:pos="3240"/>
          <w:tab w:val="num" w:pos="-3240"/>
          <w:tab w:val="left" w:pos="0"/>
          <w:tab w:val="left" w:pos="180"/>
          <w:tab w:val="left" w:pos="360"/>
          <w:tab w:val="left" w:pos="720"/>
          <w:tab w:val="left" w:pos="900"/>
          <w:tab w:val="num" w:pos="1440"/>
          <w:tab w:val="num" w:pos="1800"/>
        </w:tabs>
        <w:ind w:left="1800" w:hanging="720"/>
      </w:pPr>
      <w:r>
        <w:t>Establish</w:t>
      </w:r>
      <w:r w:rsidRPr="00F90371">
        <w:t xml:space="preserve"> the TFC of each of the defined Flowgates as equal to: </w:t>
      </w:r>
    </w:p>
    <w:p w:rsidR="00E0426B" w:rsidRPr="00F90371" w:rsidRDefault="00E0426B" w:rsidP="00E0426B">
      <w:pPr>
        <w:pStyle w:val="Requirement"/>
        <w:numPr>
          <w:ilvl w:val="0"/>
          <w:numId w:val="18"/>
        </w:numPr>
        <w:tabs>
          <w:tab w:val="clear" w:pos="3240"/>
          <w:tab w:val="left" w:pos="0"/>
          <w:tab w:val="left" w:pos="180"/>
          <w:tab w:val="left" w:pos="360"/>
          <w:tab w:val="left" w:pos="720"/>
          <w:tab w:val="left" w:pos="900"/>
        </w:tabs>
      </w:pPr>
      <w:r w:rsidRPr="00F90371">
        <w:t>For thermal limits, the S</w:t>
      </w:r>
      <w:r>
        <w:t xml:space="preserve">ystem </w:t>
      </w:r>
      <w:r w:rsidRPr="00F90371">
        <w:t>O</w:t>
      </w:r>
      <w:r>
        <w:t xml:space="preserve">perating </w:t>
      </w:r>
      <w:r w:rsidRPr="00F90371">
        <w:t>L</w:t>
      </w:r>
      <w:r>
        <w:t>imit (</w:t>
      </w:r>
      <w:smartTag w:uri="urn:schemas-microsoft-com:office:smarttags" w:element="stockticker">
        <w:r>
          <w:t>SOL</w:t>
        </w:r>
      </w:smartTag>
      <w:r>
        <w:t>)</w:t>
      </w:r>
      <w:r w:rsidRPr="00F90371">
        <w:t xml:space="preserve"> of the Flowgate. </w:t>
      </w:r>
    </w:p>
    <w:p w:rsidR="00E0426B" w:rsidRPr="00F90371" w:rsidRDefault="00E0426B" w:rsidP="00E0426B">
      <w:pPr>
        <w:pStyle w:val="Requirement"/>
        <w:numPr>
          <w:ilvl w:val="0"/>
          <w:numId w:val="18"/>
        </w:numPr>
        <w:tabs>
          <w:tab w:val="clear" w:pos="3240"/>
          <w:tab w:val="left" w:pos="0"/>
          <w:tab w:val="left" w:pos="180"/>
          <w:tab w:val="left" w:pos="360"/>
          <w:tab w:val="left" w:pos="720"/>
          <w:tab w:val="left" w:pos="900"/>
        </w:tabs>
      </w:pPr>
      <w:r w:rsidRPr="00F90371">
        <w:t xml:space="preserve">For voltage or stability limits, the flow that will respect the </w:t>
      </w:r>
      <w:smartTag w:uri="urn:schemas-microsoft-com:office:smarttags" w:element="stockticker">
        <w:r w:rsidRPr="00F90371">
          <w:t>SOL</w:t>
        </w:r>
      </w:smartTag>
      <w:r w:rsidRPr="00F90371">
        <w:t xml:space="preserve"> of the Flowgate.</w:t>
      </w:r>
    </w:p>
    <w:p w:rsidR="00E0426B" w:rsidRDefault="00E0426B" w:rsidP="00E0426B">
      <w:pPr>
        <w:pStyle w:val="Requirement"/>
        <w:numPr>
          <w:ilvl w:val="1"/>
          <w:numId w:val="5"/>
        </w:numPr>
        <w:tabs>
          <w:tab w:val="clear" w:pos="1726"/>
          <w:tab w:val="clear" w:pos="3240"/>
          <w:tab w:val="left" w:pos="-2160"/>
          <w:tab w:val="left" w:pos="1800"/>
        </w:tabs>
        <w:ind w:left="1800" w:hanging="720"/>
      </w:pPr>
      <w:r w:rsidRPr="00F90371">
        <w:t xml:space="preserve">At a minimum, </w:t>
      </w:r>
      <w:r>
        <w:t>establish</w:t>
      </w:r>
      <w:r w:rsidRPr="00F90371">
        <w:t xml:space="preserve"> the TFC once per calendar year.</w:t>
      </w:r>
      <w:r>
        <w:t xml:space="preserve"> </w:t>
      </w:r>
    </w:p>
    <w:p w:rsidR="00E0426B" w:rsidRPr="005516CE" w:rsidRDefault="00E0426B" w:rsidP="00E0426B">
      <w:pPr>
        <w:pStyle w:val="Requirement"/>
        <w:numPr>
          <w:ilvl w:val="2"/>
          <w:numId w:val="5"/>
        </w:numPr>
        <w:tabs>
          <w:tab w:val="clear" w:pos="1726"/>
          <w:tab w:val="clear" w:pos="3240"/>
          <w:tab w:val="left" w:pos="-2160"/>
          <w:tab w:val="left" w:pos="1800"/>
        </w:tabs>
        <w:ind w:left="2700" w:hanging="900"/>
        <w:rPr>
          <w:bCs/>
        </w:rPr>
      </w:pPr>
      <w:r>
        <w:rPr>
          <w:bCs/>
        </w:rPr>
        <w:t xml:space="preserve">If notified of a change in the Rating by the Transmission Owner that would affect the TFC of a flowgate used in the </w:t>
      </w:r>
      <w:smartTag w:uri="urn:schemas-microsoft-com:office:smarttags" w:element="stockticker">
        <w:r>
          <w:rPr>
            <w:bCs/>
          </w:rPr>
          <w:t>AFC</w:t>
        </w:r>
      </w:smartTag>
      <w:r>
        <w:rPr>
          <w:bCs/>
        </w:rPr>
        <w:t xml:space="preserve"> process, the TFC should be updated within seven calendar days of the notification.</w:t>
      </w:r>
    </w:p>
    <w:p w:rsidR="00E0426B" w:rsidRPr="00F90371" w:rsidRDefault="00E0426B" w:rsidP="00E0426B">
      <w:pPr>
        <w:pStyle w:val="Requirement"/>
        <w:numPr>
          <w:ilvl w:val="1"/>
          <w:numId w:val="5"/>
        </w:numPr>
        <w:tabs>
          <w:tab w:val="clear" w:pos="1726"/>
          <w:tab w:val="clear" w:pos="3240"/>
          <w:tab w:val="left" w:pos="-2160"/>
          <w:tab w:val="left" w:pos="1800"/>
        </w:tabs>
        <w:ind w:left="1800" w:hanging="720"/>
      </w:pPr>
      <w:r w:rsidRPr="00F90371">
        <w:t xml:space="preserve">Provide the Transmission Service Provider with the TFCs within </w:t>
      </w:r>
      <w:r>
        <w:t>seven</w:t>
      </w:r>
      <w:r w:rsidRPr="00F90371">
        <w:t xml:space="preserve"> </w:t>
      </w:r>
      <w:r>
        <w:t>calendar</w:t>
      </w:r>
      <w:r w:rsidRPr="00F90371">
        <w:t xml:space="preserve"> days of their </w:t>
      </w:r>
      <w:r>
        <w:t>establishment</w:t>
      </w:r>
      <w:r w:rsidRPr="00F90371">
        <w:t xml:space="preserve">.  </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D2FD5" w:rsidRPr="009901B0" w:rsidRDefault="007D2FD5" w:rsidP="009901B0">
      <w:pPr>
        <w:pStyle w:val="Heading1"/>
      </w:pPr>
      <w:r w:rsidRPr="009901B0">
        <w:t>R2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2D1C0A" w:rsidRDefault="002D1C0A" w:rsidP="002D1C0A">
      <w:pPr>
        <w:pStyle w:val="Requirement"/>
        <w:numPr>
          <w:ilvl w:val="0"/>
          <w:numId w:val="0"/>
        </w:numPr>
        <w:tabs>
          <w:tab w:val="left" w:pos="2592"/>
        </w:tabs>
        <w:ind w:left="720" w:hanging="720"/>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F636FC">
        <w:rPr>
          <w:rFonts w:ascii="Times New Roman" w:hAnsi="Times New Roman" w:cs="Times New Roman"/>
          <w:b/>
          <w:bCs/>
          <w:color w:val="264D74"/>
          <w:sz w:val="24"/>
          <w:szCs w:val="24"/>
        </w:rPr>
        <w:t>3</w:t>
      </w:r>
      <w:r w:rsidR="008342B8">
        <w:rPr>
          <w:rFonts w:ascii="Times New Roman" w:hAnsi="Times New Roman" w:cs="Times New Roman"/>
          <w:b/>
          <w:bCs/>
          <w:color w:val="264D74"/>
          <w:sz w:val="24"/>
          <w:szCs w:val="24"/>
        </w:rPr>
        <w:t>0</w:t>
      </w:r>
      <w:r w:rsidR="00F636FC">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R2</w:t>
      </w:r>
    </w:p>
    <w:p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940FE4" w:rsidRPr="005E50A4" w:rsidRDefault="00940FE4" w:rsidP="00940FE4">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performed the following:</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Inclusion of Flowgates used in the AFC process based, at a minimum, on the following </w:t>
      </w:r>
      <w:r>
        <w:rPr>
          <w:rFonts w:ascii="Times New Roman" w:hAnsi="Times New Roman" w:cs="Times New Roman"/>
          <w:color w:val="365F91"/>
          <w:sz w:val="24"/>
          <w:szCs w:val="24"/>
        </w:rPr>
        <w:tab/>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criteria:</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1" w:firstLine="1664"/>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Flowgates are included as r</w:t>
      </w:r>
      <w:r w:rsidRPr="004B45F9">
        <w:rPr>
          <w:rFonts w:ascii="Times New Roman" w:hAnsi="Times New Roman" w:cs="Times New Roman"/>
          <w:color w:val="365F91"/>
          <w:sz w:val="24"/>
          <w:szCs w:val="24"/>
        </w:rPr>
        <w:t xml:space="preserve">esults of first Contingency transfer analysis for ATC Paths </w:t>
      </w:r>
      <w:r>
        <w:rPr>
          <w:rFonts w:ascii="Times New Roman" w:hAnsi="Times New Roman" w:cs="Times New Roman"/>
          <w:color w:val="365F91"/>
          <w:sz w:val="24"/>
          <w:szCs w:val="24"/>
        </w:rPr>
        <w:tab/>
      </w:r>
    </w:p>
    <w:p w:rsidR="00940FE4" w:rsidRDefault="00940FE4" w:rsidP="00940FE4">
      <w:pPr>
        <w:ind w:left="361" w:firstLine="1664"/>
        <w:rPr>
          <w:rFonts w:ascii="Times New Roman" w:hAnsi="Times New Roman" w:cs="Times New Roman"/>
          <w:color w:val="365F91"/>
          <w:sz w:val="24"/>
          <w:szCs w:val="24"/>
        </w:rPr>
      </w:pPr>
      <w:r w:rsidRPr="004B45F9">
        <w:rPr>
          <w:rFonts w:ascii="Times New Roman" w:hAnsi="Times New Roman" w:cs="Times New Roman"/>
          <w:color w:val="365F91"/>
          <w:sz w:val="24"/>
          <w:szCs w:val="24"/>
        </w:rPr>
        <w:t xml:space="preserve">internal to a </w:t>
      </w:r>
      <w:r>
        <w:rPr>
          <w:rFonts w:ascii="Times New Roman" w:hAnsi="Times New Roman" w:cs="Times New Roman"/>
          <w:color w:val="365F91"/>
          <w:sz w:val="24"/>
          <w:szCs w:val="24"/>
        </w:rPr>
        <w:tab/>
      </w:r>
      <w:r w:rsidR="00F94880">
        <w:rPr>
          <w:rFonts w:ascii="Times New Roman" w:hAnsi="Times New Roman" w:cs="Times New Roman"/>
          <w:color w:val="365F91"/>
          <w:sz w:val="24"/>
          <w:szCs w:val="24"/>
        </w:rPr>
        <w:t xml:space="preserve">TOP’s </w:t>
      </w:r>
      <w:r w:rsidRPr="004B45F9">
        <w:rPr>
          <w:rFonts w:ascii="Times New Roman" w:hAnsi="Times New Roman" w:cs="Times New Roman"/>
          <w:color w:val="365F91"/>
          <w:sz w:val="24"/>
          <w:szCs w:val="24"/>
        </w:rPr>
        <w:t>system</w:t>
      </w:r>
      <w:r>
        <w:rPr>
          <w:rFonts w:ascii="Times New Roman" w:hAnsi="Times New Roman" w:cs="Times New Roman"/>
          <w:color w:val="365F91"/>
          <w:sz w:val="24"/>
          <w:szCs w:val="24"/>
        </w:rPr>
        <w:t xml:space="preserve"> up to the path capability includes at a </w:t>
      </w:r>
      <w:r>
        <w:rPr>
          <w:rFonts w:ascii="Times New Roman" w:hAnsi="Times New Roman" w:cs="Times New Roman"/>
          <w:color w:val="365F91"/>
          <w:sz w:val="24"/>
          <w:szCs w:val="24"/>
        </w:rPr>
        <w:tab/>
        <w:t>minimum:</w:t>
      </w:r>
    </w:p>
    <w:p w:rsidR="00940FE4" w:rsidRDefault="00940FE4" w:rsidP="00940FE4">
      <w:pPr>
        <w:ind w:left="361" w:firstLine="1664"/>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first three limiting Elements</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Their worst associated Contingency combinations with an OTDF of at least 5%</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TOP used first Contingency criteria consistent with those first Contingency </w:t>
      </w:r>
    </w:p>
    <w:p w:rsidR="00940FE4" w:rsidRDefault="00940FE4" w:rsidP="00940FE4">
      <w:pPr>
        <w:ind w:left="362" w:firstLine="2068"/>
        <w:rPr>
          <w:rFonts w:ascii="Times New Roman" w:hAnsi="Times New Roman" w:cs="Times New Roman"/>
          <w:color w:val="365F91"/>
          <w:sz w:val="24"/>
          <w:szCs w:val="24"/>
        </w:rPr>
      </w:pPr>
      <w:r>
        <w:rPr>
          <w:rFonts w:ascii="Times New Roman" w:hAnsi="Times New Roman" w:cs="Times New Roman"/>
          <w:color w:val="365F91"/>
          <w:sz w:val="24"/>
          <w:szCs w:val="24"/>
        </w:rPr>
        <w:t>criteria used in planning of operations</w:t>
      </w:r>
    </w:p>
    <w:p w:rsidR="00940FE4" w:rsidRDefault="00940FE4" w:rsidP="00940FE4">
      <w:pPr>
        <w:ind w:left="362" w:firstLine="2068"/>
        <w:rPr>
          <w:rFonts w:ascii="Times New Roman" w:hAnsi="Times New Roman" w:cs="Times New Roman"/>
          <w:color w:val="365F91"/>
          <w:sz w:val="24"/>
          <w:szCs w:val="24"/>
        </w:rPr>
      </w:pPr>
    </w:p>
    <w:p w:rsidR="00940FE4" w:rsidRPr="005E50A4" w:rsidRDefault="00940FE4" w:rsidP="00940FE4">
      <w:pPr>
        <w:ind w:left="363" w:firstLine="2068"/>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Including SPS</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TOP used only the most limiting elements in a series configuration</w:t>
      </w:r>
    </w:p>
    <w:p w:rsidR="00940FE4" w:rsidRDefault="00940FE4" w:rsidP="00940FE4">
      <w:pPr>
        <w:ind w:left="362" w:firstLine="2068"/>
        <w:rPr>
          <w:rFonts w:ascii="Times New Roman" w:hAnsi="Times New Roman" w:cs="Times New Roman"/>
          <w:color w:val="365F91"/>
          <w:sz w:val="24"/>
          <w:szCs w:val="24"/>
        </w:rPr>
      </w:pPr>
    </w:p>
    <w:p w:rsidR="00940FE4" w:rsidRPr="00F94880" w:rsidRDefault="00940FE4" w:rsidP="00940FE4">
      <w:pPr>
        <w:ind w:left="362"/>
        <w:rPr>
          <w:rFonts w:ascii="Times New Roman" w:hAnsi="Times New Roman" w:cs="Times New Roman"/>
          <w:color w:val="365F91"/>
        </w:rPr>
      </w:pPr>
      <w:r w:rsidRPr="00F94880">
        <w:rPr>
          <w:rFonts w:ascii="Times New Roman" w:hAnsi="Times New Roman" w:cs="Times New Roman"/>
          <w:bCs/>
          <w:color w:val="365F91"/>
        </w:rPr>
        <w:t>Note: If any limiting element is kept within its limit for its associated worst Contingency by operating within the limits of another Flowgate, then no new Flowgate needs to be established for such limiting elements or Contingencies.</w:t>
      </w:r>
    </w:p>
    <w:p w:rsidR="00940FE4" w:rsidRPr="005E50A4" w:rsidRDefault="00940FE4" w:rsidP="00940FE4">
      <w:pPr>
        <w:ind w:left="362" w:firstLine="2068"/>
        <w:rPr>
          <w:rFonts w:ascii="Times New Roman" w:hAnsi="Times New Roman" w:cs="Times New Roman"/>
          <w:color w:val="365F91"/>
          <w:sz w:val="24"/>
          <w:szCs w:val="24"/>
        </w:rPr>
      </w:pPr>
    </w:p>
    <w:p w:rsidR="00940FE4" w:rsidRDefault="00940FE4" w:rsidP="00940FE4">
      <w:pPr>
        <w:ind w:left="361" w:firstLine="1664"/>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Flowgates are included as r</w:t>
      </w:r>
      <w:r w:rsidRPr="004B45F9">
        <w:rPr>
          <w:rFonts w:ascii="Times New Roman" w:hAnsi="Times New Roman" w:cs="Times New Roman"/>
          <w:color w:val="365F91"/>
          <w:sz w:val="24"/>
          <w:szCs w:val="24"/>
        </w:rPr>
        <w:t xml:space="preserve">esults of first Contingency transfer analysis </w:t>
      </w:r>
      <w:r>
        <w:rPr>
          <w:rFonts w:ascii="Times New Roman" w:hAnsi="Times New Roman" w:cs="Times New Roman"/>
          <w:color w:val="365F91"/>
          <w:sz w:val="24"/>
          <w:szCs w:val="24"/>
        </w:rPr>
        <w:t xml:space="preserve">from all </w:t>
      </w:r>
    </w:p>
    <w:p w:rsidR="00940FE4" w:rsidRDefault="00940FE4" w:rsidP="00940FE4">
      <w:pPr>
        <w:ind w:left="361" w:firstLine="1664"/>
        <w:rPr>
          <w:rFonts w:ascii="Times New Roman" w:hAnsi="Times New Roman" w:cs="Times New Roman"/>
          <w:color w:val="365F91"/>
          <w:sz w:val="24"/>
          <w:szCs w:val="24"/>
        </w:rPr>
      </w:pPr>
      <w:r>
        <w:rPr>
          <w:rFonts w:ascii="Times New Roman" w:hAnsi="Times New Roman" w:cs="Times New Roman"/>
          <w:color w:val="365F91"/>
          <w:sz w:val="24"/>
          <w:szCs w:val="24"/>
        </w:rPr>
        <w:t xml:space="preserve">adjacent BA source and sink combinations up to the path capability includes at a </w:t>
      </w:r>
      <w:r>
        <w:rPr>
          <w:rFonts w:ascii="Times New Roman" w:hAnsi="Times New Roman" w:cs="Times New Roman"/>
          <w:color w:val="365F91"/>
          <w:sz w:val="24"/>
          <w:szCs w:val="24"/>
        </w:rPr>
        <w:tab/>
      </w:r>
    </w:p>
    <w:p w:rsidR="00940FE4" w:rsidRDefault="00940FE4" w:rsidP="00940FE4">
      <w:pPr>
        <w:ind w:left="361" w:firstLine="1664"/>
        <w:rPr>
          <w:rFonts w:ascii="Times New Roman" w:hAnsi="Times New Roman" w:cs="Times New Roman"/>
          <w:color w:val="365F91"/>
          <w:sz w:val="24"/>
          <w:szCs w:val="24"/>
        </w:rPr>
      </w:pPr>
      <w:r>
        <w:rPr>
          <w:rFonts w:ascii="Times New Roman" w:hAnsi="Times New Roman" w:cs="Times New Roman"/>
          <w:color w:val="365F91"/>
          <w:sz w:val="24"/>
          <w:szCs w:val="24"/>
        </w:rPr>
        <w:t>minimum:</w:t>
      </w:r>
    </w:p>
    <w:p w:rsidR="00940FE4" w:rsidRDefault="00940FE4" w:rsidP="00940FE4">
      <w:pPr>
        <w:ind w:left="361" w:firstLine="1664"/>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first three limiting Elements</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Their worst associated Contingency combinations with an OTDF of at least 5%</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TOP used first Contingency criteria consistent with those first Contingency </w:t>
      </w:r>
    </w:p>
    <w:p w:rsidR="00940FE4" w:rsidRDefault="00940FE4" w:rsidP="00940FE4">
      <w:pPr>
        <w:ind w:left="362" w:firstLine="2068"/>
        <w:rPr>
          <w:rFonts w:ascii="Times New Roman" w:hAnsi="Times New Roman" w:cs="Times New Roman"/>
          <w:color w:val="365F91"/>
          <w:sz w:val="24"/>
          <w:szCs w:val="24"/>
        </w:rPr>
      </w:pPr>
      <w:r>
        <w:rPr>
          <w:rFonts w:ascii="Times New Roman" w:hAnsi="Times New Roman" w:cs="Times New Roman"/>
          <w:color w:val="365F91"/>
          <w:sz w:val="24"/>
          <w:szCs w:val="24"/>
        </w:rPr>
        <w:t>criteria used in planning of operations</w:t>
      </w:r>
    </w:p>
    <w:p w:rsidR="00940FE4" w:rsidRDefault="00940FE4" w:rsidP="00940FE4">
      <w:pPr>
        <w:ind w:left="362" w:firstLine="2068"/>
        <w:rPr>
          <w:rFonts w:ascii="Times New Roman" w:hAnsi="Times New Roman" w:cs="Times New Roman"/>
          <w:color w:val="365F91"/>
          <w:sz w:val="24"/>
          <w:szCs w:val="24"/>
        </w:rPr>
      </w:pPr>
    </w:p>
    <w:p w:rsidR="00940FE4" w:rsidRPr="005E50A4" w:rsidRDefault="00940FE4" w:rsidP="00940FE4">
      <w:pPr>
        <w:ind w:left="363" w:firstLine="2068"/>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Including SPS</w:t>
      </w:r>
    </w:p>
    <w:p w:rsidR="00940FE4" w:rsidRDefault="00940FE4" w:rsidP="00940FE4">
      <w:pPr>
        <w:ind w:left="362" w:firstLine="2068"/>
        <w:rPr>
          <w:rFonts w:ascii="Times New Roman" w:hAnsi="Times New Roman" w:cs="Times New Roman"/>
          <w:color w:val="365F91"/>
          <w:sz w:val="24"/>
          <w:szCs w:val="24"/>
        </w:rPr>
      </w:pPr>
    </w:p>
    <w:p w:rsidR="00940FE4" w:rsidRDefault="00940FE4" w:rsidP="00940FE4">
      <w:pPr>
        <w:ind w:left="362" w:firstLine="2068"/>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TOP used only the most limiting elements in a series configuration</w:t>
      </w:r>
    </w:p>
    <w:p w:rsidR="00940FE4" w:rsidRDefault="00940FE4" w:rsidP="00940FE4">
      <w:pPr>
        <w:ind w:left="362" w:firstLine="2068"/>
        <w:rPr>
          <w:rFonts w:ascii="Times New Roman" w:hAnsi="Times New Roman" w:cs="Times New Roman"/>
          <w:color w:val="365F91"/>
          <w:sz w:val="24"/>
          <w:szCs w:val="24"/>
        </w:rPr>
      </w:pPr>
    </w:p>
    <w:p w:rsidR="00940FE4" w:rsidRPr="00F636FC" w:rsidRDefault="00940FE4" w:rsidP="00940FE4">
      <w:pPr>
        <w:ind w:left="362"/>
        <w:rPr>
          <w:rFonts w:ascii="Times New Roman" w:hAnsi="Times New Roman" w:cs="Times New Roman"/>
          <w:color w:val="365F91"/>
        </w:rPr>
      </w:pPr>
      <w:r w:rsidRPr="00F636FC">
        <w:rPr>
          <w:rFonts w:ascii="Times New Roman" w:hAnsi="Times New Roman" w:cs="Times New Roman"/>
          <w:bCs/>
          <w:color w:val="365F91"/>
        </w:rPr>
        <w:t>Note: If any limiting element is kept within its limit for its associated worst Contingency by operating within the limits of another Flowgate, then no new Flowgate needs to be established for such limiting elements or Contingencies.</w:t>
      </w:r>
    </w:p>
    <w:p w:rsidR="00940FE4" w:rsidRPr="005E50A4" w:rsidRDefault="00940FE4" w:rsidP="00940FE4">
      <w:pPr>
        <w:rPr>
          <w:rFonts w:ascii="Times New Roman" w:hAnsi="Times New Roman" w:cs="Times New Roman"/>
          <w:color w:val="365F91"/>
          <w:sz w:val="24"/>
          <w:szCs w:val="24"/>
        </w:rPr>
      </w:pPr>
    </w:p>
    <w:p w:rsidR="00F636FC" w:rsidRDefault="00940FE4" w:rsidP="00F636FC">
      <w:pPr>
        <w:ind w:left="362" w:firstLine="883"/>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Any </w:t>
      </w:r>
      <w:r w:rsidRPr="00977860">
        <w:rPr>
          <w:rFonts w:ascii="Times New Roman" w:hAnsi="Times New Roman" w:cs="Times New Roman"/>
          <w:color w:val="365F91"/>
          <w:sz w:val="24"/>
          <w:szCs w:val="24"/>
        </w:rPr>
        <w:t xml:space="preserve">limiting Element/Contingency combination at least within its </w:t>
      </w:r>
      <w:r w:rsidR="00F636FC">
        <w:rPr>
          <w:rFonts w:ascii="Times New Roman" w:hAnsi="Times New Roman" w:cs="Times New Roman"/>
          <w:color w:val="365F91"/>
          <w:sz w:val="24"/>
          <w:szCs w:val="24"/>
        </w:rPr>
        <w:t>RC’s</w:t>
      </w:r>
      <w:r w:rsidRPr="00977860">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977860">
        <w:rPr>
          <w:rFonts w:ascii="Times New Roman" w:hAnsi="Times New Roman" w:cs="Times New Roman"/>
          <w:color w:val="365F91"/>
          <w:sz w:val="24"/>
          <w:szCs w:val="24"/>
        </w:rPr>
        <w:t xml:space="preserve">Area that has been </w:t>
      </w:r>
      <w:r w:rsidR="00F636FC">
        <w:rPr>
          <w:rFonts w:ascii="Times New Roman" w:hAnsi="Times New Roman" w:cs="Times New Roman"/>
          <w:color w:val="365F91"/>
          <w:sz w:val="24"/>
          <w:szCs w:val="24"/>
        </w:rPr>
        <w:t xml:space="preserve">        </w:t>
      </w:r>
    </w:p>
    <w:p w:rsidR="00F636FC" w:rsidRDefault="00940FE4" w:rsidP="00F636FC">
      <w:pPr>
        <w:ind w:left="362" w:firstLine="883"/>
        <w:rPr>
          <w:rFonts w:ascii="Times New Roman" w:hAnsi="Times New Roman" w:cs="Times New Roman"/>
          <w:color w:val="365F91"/>
          <w:sz w:val="24"/>
          <w:szCs w:val="24"/>
        </w:rPr>
      </w:pPr>
      <w:r w:rsidRPr="00977860">
        <w:rPr>
          <w:rFonts w:ascii="Times New Roman" w:hAnsi="Times New Roman" w:cs="Times New Roman"/>
          <w:color w:val="365F91"/>
          <w:sz w:val="24"/>
          <w:szCs w:val="24"/>
        </w:rPr>
        <w:t xml:space="preserve">subjected to an Interconnection-wide congestion management procedure within the last 12 months, </w:t>
      </w:r>
      <w:r w:rsidR="00F636FC">
        <w:rPr>
          <w:rFonts w:ascii="Times New Roman" w:hAnsi="Times New Roman" w:cs="Times New Roman"/>
          <w:color w:val="365F91"/>
          <w:sz w:val="24"/>
          <w:szCs w:val="24"/>
        </w:rPr>
        <w:t xml:space="preserve"> </w:t>
      </w:r>
    </w:p>
    <w:p w:rsidR="00940FE4" w:rsidRDefault="00940FE4" w:rsidP="00F636FC">
      <w:pPr>
        <w:ind w:left="362" w:firstLine="883"/>
        <w:rPr>
          <w:rFonts w:ascii="Times New Roman" w:hAnsi="Times New Roman" w:cs="Times New Roman"/>
          <w:color w:val="365F91"/>
          <w:sz w:val="24"/>
          <w:szCs w:val="24"/>
        </w:rPr>
      </w:pPr>
      <w:r>
        <w:rPr>
          <w:rFonts w:ascii="Times New Roman" w:hAnsi="Times New Roman" w:cs="Times New Roman"/>
          <w:color w:val="365F91"/>
          <w:sz w:val="24"/>
          <w:szCs w:val="24"/>
        </w:rPr>
        <w:t>unless:</w:t>
      </w:r>
    </w:p>
    <w:p w:rsidR="00F636FC" w:rsidRDefault="00F636FC" w:rsidP="00940FE4">
      <w:pPr>
        <w:ind w:left="360" w:firstLine="1"/>
        <w:rPr>
          <w:rFonts w:ascii="Times New Roman" w:hAnsi="Times New Roman" w:cs="Times New Roman"/>
          <w:bCs/>
          <w:color w:val="365F91"/>
          <w:sz w:val="24"/>
          <w:szCs w:val="24"/>
        </w:rPr>
      </w:pP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w:t>
      </w:r>
      <w:r w:rsidRPr="00977860">
        <w:rPr>
          <w:rFonts w:ascii="Times New Roman" w:hAnsi="Times New Roman" w:cs="Times New Roman"/>
          <w:color w:val="365F91"/>
          <w:sz w:val="24"/>
          <w:szCs w:val="24"/>
        </w:rPr>
        <w:t xml:space="preserve"> limiting Element/Contingency combination is accounted for using another ATC </w:t>
      </w:r>
    </w:p>
    <w:p w:rsidR="00940FE4" w:rsidRDefault="00940FE4" w:rsidP="00940FE4">
      <w:pPr>
        <w:ind w:left="360" w:firstLine="117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methodology </w:t>
      </w:r>
    </w:p>
    <w:p w:rsidR="00940FE4" w:rsidRDefault="00940FE4" w:rsidP="00940FE4">
      <w:pPr>
        <w:ind w:left="360"/>
        <w:rPr>
          <w:rFonts w:ascii="Times New Roman" w:hAnsi="Times New Roman" w:cs="Times New Roman"/>
          <w:bCs/>
          <w:color w:val="365F91"/>
          <w:sz w:val="24"/>
          <w:szCs w:val="24"/>
        </w:rPr>
      </w:pP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(or)</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W</w:t>
      </w:r>
      <w:r w:rsidRPr="00977860">
        <w:rPr>
          <w:rFonts w:ascii="Times New Roman" w:hAnsi="Times New Roman" w:cs="Times New Roman"/>
          <w:color w:val="365F91"/>
          <w:sz w:val="24"/>
          <w:szCs w:val="24"/>
        </w:rPr>
        <w:t xml:space="preserve">as created to address temporary operating conditions.  </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Any </w:t>
      </w:r>
      <w:r w:rsidRPr="00977860">
        <w:rPr>
          <w:rFonts w:ascii="Times New Roman" w:hAnsi="Times New Roman" w:cs="Times New Roman"/>
          <w:color w:val="365F91"/>
          <w:sz w:val="24"/>
          <w:szCs w:val="24"/>
        </w:rPr>
        <w:t xml:space="preserve">limiting Element/Contingency combination within the Transmission model that has been </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                      </w:t>
      </w:r>
      <w:r w:rsidRPr="00977860">
        <w:rPr>
          <w:rFonts w:ascii="Times New Roman" w:hAnsi="Times New Roman" w:cs="Times New Roman"/>
          <w:color w:val="365F91"/>
          <w:sz w:val="24"/>
          <w:szCs w:val="24"/>
        </w:rPr>
        <w:t xml:space="preserve">requested to be included by any other Transmission Service Provider using the Flowgate </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977860">
        <w:rPr>
          <w:rFonts w:ascii="Times New Roman" w:hAnsi="Times New Roman" w:cs="Times New Roman"/>
          <w:color w:val="365F91"/>
          <w:sz w:val="24"/>
          <w:szCs w:val="24"/>
        </w:rPr>
        <w:t xml:space="preserve">Methodology or </w:t>
      </w:r>
      <w:r>
        <w:rPr>
          <w:rFonts w:ascii="Times New Roman" w:hAnsi="Times New Roman" w:cs="Times New Roman"/>
          <w:color w:val="365F91"/>
          <w:sz w:val="24"/>
          <w:szCs w:val="24"/>
        </w:rPr>
        <w:tab/>
      </w:r>
      <w:r w:rsidRPr="00977860">
        <w:rPr>
          <w:rFonts w:ascii="Times New Roman" w:hAnsi="Times New Roman" w:cs="Times New Roman"/>
          <w:color w:val="365F91"/>
          <w:sz w:val="24"/>
          <w:szCs w:val="24"/>
        </w:rPr>
        <w:t>Area Interchange Methodology, where:</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w:t>
      </w:r>
      <w:r w:rsidRPr="00977860">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coordination of the limiting Element/Contingency combination is not already </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addressed through a different methodology, and</w:t>
      </w:r>
      <w:r>
        <w:rPr>
          <w:rFonts w:ascii="Times New Roman" w:hAnsi="Times New Roman" w:cs="Times New Roman"/>
          <w:color w:val="365F91"/>
          <w:sz w:val="24"/>
          <w:szCs w:val="24"/>
        </w:rPr>
        <w:t>:</w:t>
      </w:r>
    </w:p>
    <w:p w:rsidR="00940FE4" w:rsidRDefault="00940FE4" w:rsidP="00940FE4">
      <w:pPr>
        <w:ind w:left="360"/>
        <w:rPr>
          <w:rFonts w:ascii="Times New Roman" w:hAnsi="Times New Roman" w:cs="Times New Roman"/>
          <w:color w:val="365F91"/>
          <w:sz w:val="24"/>
          <w:szCs w:val="24"/>
        </w:rPr>
      </w:pPr>
    </w:p>
    <w:p w:rsidR="00F636FC"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Any </w:t>
      </w:r>
      <w:r w:rsidRPr="001E6E76">
        <w:rPr>
          <w:rFonts w:ascii="Times New Roman" w:hAnsi="Times New Roman" w:cs="Times New Roman"/>
          <w:color w:val="365F91"/>
          <w:sz w:val="24"/>
          <w:szCs w:val="24"/>
        </w:rPr>
        <w:t xml:space="preserve">generator within the </w:t>
      </w:r>
      <w:r w:rsidR="00F636FC">
        <w:rPr>
          <w:rFonts w:ascii="Times New Roman" w:hAnsi="Times New Roman" w:cs="Times New Roman"/>
          <w:color w:val="365F91"/>
          <w:sz w:val="24"/>
          <w:szCs w:val="24"/>
        </w:rPr>
        <w:t>TSP’s</w:t>
      </w:r>
      <w:r w:rsidRPr="001E6E76">
        <w:rPr>
          <w:rFonts w:ascii="Times New Roman" w:hAnsi="Times New Roman" w:cs="Times New Roman"/>
          <w:color w:val="365F91"/>
          <w:sz w:val="24"/>
          <w:szCs w:val="24"/>
        </w:rPr>
        <w:t xml:space="preserve"> area has at least a 5% PTDF or</w:t>
      </w: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 xml:space="preserve">OTDF impact on the </w:t>
      </w:r>
    </w:p>
    <w:p w:rsidR="00940FE4" w:rsidRDefault="00F636FC" w:rsidP="00F636FC">
      <w:pPr>
        <w:ind w:left="362"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940FE4" w:rsidRPr="001E6E76">
        <w:rPr>
          <w:rFonts w:ascii="Times New Roman" w:hAnsi="Times New Roman" w:cs="Times New Roman"/>
          <w:color w:val="365F91"/>
          <w:sz w:val="24"/>
          <w:szCs w:val="24"/>
        </w:rPr>
        <w:t xml:space="preserve">Flowgate when delivered to the aggregate load of its own area, </w:t>
      </w:r>
    </w:p>
    <w:p w:rsidR="00940FE4" w:rsidRDefault="00940FE4" w:rsidP="00940FE4">
      <w:pPr>
        <w:ind w:left="361" w:firstLine="1"/>
        <w:rPr>
          <w:rFonts w:ascii="Times New Roman" w:hAnsi="Times New Roman" w:cs="Times New Roman"/>
          <w:color w:val="365F91"/>
          <w:sz w:val="24"/>
          <w:szCs w:val="24"/>
        </w:rPr>
      </w:pPr>
    </w:p>
    <w:p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t xml:space="preserve">                          </w:t>
      </w:r>
      <w:r w:rsidRPr="001E6E76">
        <w:rPr>
          <w:rFonts w:ascii="Times New Roman" w:hAnsi="Times New Roman" w:cs="Times New Roman"/>
          <w:color w:val="365F91"/>
          <w:sz w:val="24"/>
          <w:szCs w:val="24"/>
        </w:rPr>
        <w:t>or</w:t>
      </w:r>
    </w:p>
    <w:p w:rsidR="00F636FC"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A</w:t>
      </w:r>
      <w:r w:rsidRPr="00977860">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transfer from any </w:t>
      </w:r>
      <w:r w:rsidR="00F636FC">
        <w:rPr>
          <w:rFonts w:ascii="Times New Roman" w:hAnsi="Times New Roman" w:cs="Times New Roman"/>
          <w:color w:val="365F91"/>
          <w:sz w:val="24"/>
          <w:szCs w:val="24"/>
        </w:rPr>
        <w:t xml:space="preserve">BA </w:t>
      </w:r>
      <w:r w:rsidRPr="001E6E76">
        <w:rPr>
          <w:rFonts w:ascii="Times New Roman" w:hAnsi="Times New Roman" w:cs="Times New Roman"/>
          <w:color w:val="365F91"/>
          <w:sz w:val="24"/>
          <w:szCs w:val="24"/>
        </w:rPr>
        <w:t xml:space="preserve">within the </w:t>
      </w:r>
      <w:r w:rsidR="00F636FC">
        <w:rPr>
          <w:rFonts w:ascii="Times New Roman" w:hAnsi="Times New Roman" w:cs="Times New Roman"/>
          <w:color w:val="365F91"/>
          <w:sz w:val="24"/>
          <w:szCs w:val="24"/>
        </w:rPr>
        <w:t>TSP’s</w:t>
      </w:r>
      <w:r w:rsidRPr="001E6E76">
        <w:rPr>
          <w:rFonts w:ascii="Times New Roman" w:hAnsi="Times New Roman" w:cs="Times New Roman"/>
          <w:color w:val="365F91"/>
          <w:sz w:val="24"/>
          <w:szCs w:val="24"/>
        </w:rPr>
        <w:t xml:space="preserve"> area</w:t>
      </w:r>
      <w:r w:rsidR="00F636FC">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to a </w:t>
      </w:r>
      <w:r w:rsidR="00F636FC">
        <w:rPr>
          <w:rFonts w:ascii="Times New Roman" w:hAnsi="Times New Roman" w:cs="Times New Roman"/>
          <w:color w:val="365F91"/>
          <w:sz w:val="24"/>
          <w:szCs w:val="24"/>
        </w:rPr>
        <w:t>BA</w:t>
      </w:r>
      <w:r w:rsidRPr="001E6E76">
        <w:rPr>
          <w:rFonts w:ascii="Times New Roman" w:hAnsi="Times New Roman" w:cs="Times New Roman"/>
          <w:color w:val="365F91"/>
          <w:sz w:val="24"/>
          <w:szCs w:val="24"/>
        </w:rPr>
        <w:t xml:space="preserve"> adjacent has at least a 5% </w:t>
      </w:r>
    </w:p>
    <w:p w:rsidR="00940FE4" w:rsidRDefault="00F636FC" w:rsidP="00940FE4">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940FE4" w:rsidRPr="001E6E76">
        <w:rPr>
          <w:rFonts w:ascii="Times New Roman" w:hAnsi="Times New Roman" w:cs="Times New Roman"/>
          <w:color w:val="365F91"/>
          <w:sz w:val="24"/>
          <w:szCs w:val="24"/>
        </w:rPr>
        <w:t>PTDF or OTDF impact on the Flowgate.</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p>
    <w:p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00F636FC">
        <w:rPr>
          <w:rFonts w:ascii="Times New Roman" w:hAnsi="Times New Roman" w:cs="Times New Roman"/>
          <w:color w:val="365F91"/>
          <w:sz w:val="24"/>
          <w:szCs w:val="24"/>
        </w:rPr>
        <w:t>TOP</w:t>
      </w:r>
      <w:r w:rsidRPr="001E6E76">
        <w:rPr>
          <w:rFonts w:ascii="Times New Roman" w:hAnsi="Times New Roman" w:cs="Times New Roman"/>
          <w:color w:val="365F91"/>
          <w:sz w:val="24"/>
          <w:szCs w:val="24"/>
        </w:rPr>
        <w:t xml:space="preserve"> may utilize distribution factors less than 5% if desired.</w:t>
      </w: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p>
    <w:p w:rsidR="00F636FC" w:rsidRDefault="00940FE4" w:rsidP="00F636FC">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w:t>
      </w:r>
      <w:r w:rsidRPr="00977860">
        <w:rPr>
          <w:rFonts w:ascii="Times New Roman" w:hAnsi="Times New Roman" w:cs="Times New Roman"/>
          <w:color w:val="365F91"/>
          <w:sz w:val="24"/>
          <w:szCs w:val="24"/>
        </w:rPr>
        <w:t xml:space="preserve"> </w:t>
      </w:r>
      <w:r w:rsidRPr="001E6E76">
        <w:rPr>
          <w:rFonts w:ascii="Times New Roman" w:hAnsi="Times New Roman" w:cs="Times New Roman"/>
          <w:color w:val="365F91"/>
          <w:sz w:val="24"/>
          <w:szCs w:val="24"/>
        </w:rPr>
        <w:t xml:space="preserve">limiting Element/Contingency combination is included in the requesting </w:t>
      </w:r>
      <w:r w:rsidR="00F636FC">
        <w:rPr>
          <w:rFonts w:ascii="Times New Roman" w:hAnsi="Times New Roman" w:cs="Times New Roman"/>
          <w:color w:val="365F91"/>
          <w:sz w:val="24"/>
          <w:szCs w:val="24"/>
        </w:rPr>
        <w:t>TSP’</w:t>
      </w:r>
      <w:r w:rsidRPr="001E6E76">
        <w:rPr>
          <w:rFonts w:ascii="Times New Roman" w:hAnsi="Times New Roman" w:cs="Times New Roman"/>
          <w:color w:val="365F91"/>
          <w:sz w:val="24"/>
          <w:szCs w:val="24"/>
        </w:rPr>
        <w:t xml:space="preserve">s </w:t>
      </w:r>
    </w:p>
    <w:p w:rsidR="00940FE4" w:rsidRDefault="00F636FC" w:rsidP="00F636FC">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940FE4" w:rsidRPr="001E6E76">
        <w:rPr>
          <w:rFonts w:ascii="Times New Roman" w:hAnsi="Times New Roman" w:cs="Times New Roman"/>
          <w:color w:val="365F91"/>
          <w:sz w:val="24"/>
          <w:szCs w:val="24"/>
        </w:rPr>
        <w:t>methodology.</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Established a list of Flowgates by creating, modifying or deleting Flowgate definitions at least </w:t>
      </w: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once per calendar year at a minimum.</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Established a list of Flowgates by creating, modifying, or deleting Flowgates that have been </w:t>
      </w:r>
    </w:p>
    <w:p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requested as a part of R2.1.4 within thirty calendar days from the request at a minimum.</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Established the TFC of each of the defined Flowgates as equal to:</w:t>
      </w:r>
    </w:p>
    <w:p w:rsidR="00940FE4" w:rsidRDefault="00940FE4" w:rsidP="00940FE4">
      <w:pPr>
        <w:ind w:left="360"/>
        <w:rPr>
          <w:rFonts w:ascii="Times New Roman" w:hAnsi="Times New Roman" w:cs="Times New Roman"/>
          <w:color w:val="365F91"/>
          <w:sz w:val="24"/>
          <w:szCs w:val="24"/>
        </w:rPr>
      </w:pPr>
    </w:p>
    <w:p w:rsidR="00940FE4" w:rsidRDefault="00940FE4" w:rsidP="00940FE4">
      <w:pPr>
        <w:tabs>
          <w:tab w:val="left" w:pos="1350"/>
          <w:tab w:val="left" w:pos="1620"/>
        </w:tabs>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SOL for thermal limits of the Flowgate</w:t>
      </w:r>
    </w:p>
    <w:p w:rsidR="00940FE4" w:rsidRDefault="00940FE4" w:rsidP="00940FE4">
      <w:pPr>
        <w:ind w:left="360" w:firstLine="1"/>
        <w:rPr>
          <w:rFonts w:ascii="Times New Roman" w:hAnsi="Times New Roman" w:cs="Times New Roman"/>
          <w:color w:val="365F91"/>
          <w:sz w:val="24"/>
          <w:szCs w:val="24"/>
        </w:rPr>
      </w:pPr>
    </w:p>
    <w:p w:rsidR="00940FE4" w:rsidRDefault="00940FE4" w:rsidP="00940FE4">
      <w:pPr>
        <w:tabs>
          <w:tab w:val="left" w:pos="1350"/>
          <w:tab w:val="left" w:pos="1620"/>
        </w:tabs>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flow that will respect the SOLs for voltage or stability limits of the Flowgate</w:t>
      </w:r>
    </w:p>
    <w:p w:rsidR="00940FE4" w:rsidRDefault="00940FE4" w:rsidP="00940FE4">
      <w:pPr>
        <w:ind w:left="360"/>
        <w:rPr>
          <w:rFonts w:ascii="Times New Roman" w:hAnsi="Times New Roman" w:cs="Times New Roman"/>
          <w:color w:val="365F91"/>
          <w:sz w:val="24"/>
          <w:szCs w:val="24"/>
        </w:rPr>
      </w:pP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Established the TFC at a minimum once per calendar year unless:</w:t>
      </w:r>
    </w:p>
    <w:p w:rsidR="00940FE4" w:rsidRDefault="00940FE4" w:rsidP="00940FE4">
      <w:pPr>
        <w:tabs>
          <w:tab w:val="left" w:pos="1350"/>
          <w:tab w:val="left" w:pos="1620"/>
        </w:tabs>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940FE4" w:rsidRDefault="00940FE4" w:rsidP="00940FE4">
      <w:pPr>
        <w:tabs>
          <w:tab w:val="left" w:pos="1350"/>
          <w:tab w:val="left" w:pos="1620"/>
        </w:tabs>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TFC was updated</w:t>
      </w:r>
      <w:r w:rsidRPr="008700B5">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within seven calendar days of the notification of a change in the </w:t>
      </w:r>
    </w:p>
    <w:p w:rsidR="00940FE4" w:rsidRDefault="00940FE4" w:rsidP="00940FE4">
      <w:pPr>
        <w:tabs>
          <w:tab w:val="left" w:pos="1350"/>
          <w:tab w:val="left" w:pos="1620"/>
        </w:tabs>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Rating by the TO that would affect the TFC of a Flowgate </w:t>
      </w:r>
    </w:p>
    <w:p w:rsidR="00940FE4" w:rsidRDefault="00940FE4" w:rsidP="00940FE4">
      <w:pPr>
        <w:tabs>
          <w:tab w:val="left" w:pos="1350"/>
          <w:tab w:val="left" w:pos="1620"/>
        </w:tabs>
        <w:ind w:left="360" w:firstLine="1"/>
        <w:rPr>
          <w:rFonts w:ascii="Times New Roman" w:hAnsi="Times New Roman" w:cs="Times New Roman"/>
          <w:color w:val="365F91"/>
          <w:sz w:val="24"/>
          <w:szCs w:val="24"/>
        </w:rPr>
      </w:pPr>
    </w:p>
    <w:p w:rsidR="00940FE4" w:rsidRDefault="00940FE4" w:rsidP="00940FE4">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TSP was provided with TFCs within seven calendar days of their establishment.</w:t>
      </w:r>
    </w:p>
    <w:p w:rsidR="00940FE4" w:rsidRDefault="00940FE4" w:rsidP="00940FE4">
      <w:pPr>
        <w:ind w:left="361"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p>
    <w:p w:rsidR="00940FE4" w:rsidRPr="001F467C" w:rsidRDefault="00940FE4" w:rsidP="00940FE4">
      <w:pPr>
        <w:rPr>
          <w:rFonts w:ascii="Times New Roman" w:hAnsi="Times New Roman" w:cs="Times New Roman"/>
          <w:sz w:val="24"/>
          <w:szCs w:val="24"/>
        </w:rPr>
      </w:pPr>
    </w:p>
    <w:p w:rsidR="005E50A4" w:rsidRPr="001F467C" w:rsidRDefault="005E50A4" w:rsidP="005E50A4">
      <w:pPr>
        <w:rPr>
          <w:rFonts w:ascii="Times New Roman" w:hAnsi="Times New Roman" w:cs="Times New Roman"/>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883445">
      <w:pPr>
        <w:widowControl w:val="0"/>
        <w:tabs>
          <w:tab w:val="left" w:pos="60"/>
        </w:tabs>
        <w:spacing w:line="284" w:lineRule="exact"/>
        <w:rPr>
          <w:rFonts w:ascii="Times New Roman" w:hAnsi="Times New Roman" w:cs="Times New Roman"/>
          <w:sz w:val="24"/>
          <w:szCs w:val="24"/>
        </w:rPr>
      </w:pPr>
    </w:p>
    <w:p w:rsidR="00001BFE" w:rsidRPr="001F467C" w:rsidRDefault="00001BFE" w:rsidP="002D1C0A">
      <w:pPr>
        <w:pStyle w:val="Requirement"/>
        <w:numPr>
          <w:ilvl w:val="0"/>
          <w:numId w:val="0"/>
        </w:numPr>
        <w:tabs>
          <w:tab w:val="left" w:pos="2592"/>
        </w:tabs>
        <w:ind w:left="720" w:hanging="720"/>
      </w:pPr>
    </w:p>
    <w:p w:rsidR="008342B8" w:rsidRPr="008342B8" w:rsidRDefault="008342B8" w:rsidP="00E0426B">
      <w:pPr>
        <w:pStyle w:val="ListParagraph"/>
        <w:numPr>
          <w:ilvl w:val="0"/>
          <w:numId w:val="19"/>
        </w:numPr>
        <w:tabs>
          <w:tab w:val="num"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19"/>
        </w:numPr>
        <w:tabs>
          <w:tab w:val="num" w:pos="-1800"/>
        </w:tabs>
        <w:autoSpaceDE/>
        <w:autoSpaceDN/>
        <w:adjustRightInd/>
        <w:spacing w:after="120"/>
        <w:rPr>
          <w:rFonts w:ascii="Times New Roman" w:hAnsi="Times New Roman" w:cs="Times New Roman"/>
          <w:vanish/>
          <w:sz w:val="24"/>
          <w:szCs w:val="24"/>
        </w:rPr>
      </w:pPr>
    </w:p>
    <w:p w:rsidR="00E0426B" w:rsidRPr="004E71C2" w:rsidRDefault="00E0426B" w:rsidP="00E0426B">
      <w:pPr>
        <w:pStyle w:val="Requirement"/>
        <w:numPr>
          <w:ilvl w:val="0"/>
          <w:numId w:val="19"/>
        </w:numPr>
        <w:tabs>
          <w:tab w:val="clear" w:pos="3240"/>
          <w:tab w:val="num" w:pos="-1800"/>
        </w:tabs>
      </w:pPr>
      <w:r>
        <w:t xml:space="preserve">The Transmission Operator shall </w:t>
      </w:r>
      <w:r w:rsidRPr="00276FE6">
        <w:t>make available to the Transmission Service Provider</w:t>
      </w:r>
      <w:r>
        <w:t xml:space="preserve"> a</w:t>
      </w:r>
      <w:r w:rsidRPr="0069211D">
        <w:t xml:space="preserve"> </w:t>
      </w:r>
      <w:r>
        <w:t>Transmission</w:t>
      </w:r>
      <w:r w:rsidRPr="0069211D">
        <w:t xml:space="preserve"> model to determine </w:t>
      </w:r>
      <w:r w:rsidRPr="009C0AA0">
        <w:t>Available Flowgate Capability (</w:t>
      </w:r>
      <w:smartTag w:uri="urn:schemas-microsoft-com:office:smarttags" w:element="stockticker">
        <w:r w:rsidRPr="009C0AA0">
          <w:t>AFC</w:t>
        </w:r>
      </w:smartTag>
      <w:r w:rsidRPr="009C0AA0">
        <w:t>)</w:t>
      </w:r>
      <w:r>
        <w:t xml:space="preserve"> that meets the </w:t>
      </w:r>
      <w:r w:rsidRPr="004E71C2">
        <w:t xml:space="preserve">following criteria:  </w:t>
      </w:r>
      <w:r w:rsidRPr="00E0426B">
        <w:rPr>
          <w:rFonts w:ascii="TimesNewRomanPSMT" w:hAnsi="TimesNewRomanPSMT" w:cs="TimesNewRomanPSMT"/>
        </w:rPr>
        <w:t>[</w:t>
      </w:r>
      <w:r w:rsidRPr="00E0426B">
        <w:rPr>
          <w:i/>
          <w:iCs/>
        </w:rPr>
        <w:t>Violation Risk Factor: To Be Determined</w:t>
      </w:r>
      <w:r w:rsidRPr="00E0426B">
        <w:rPr>
          <w:rFonts w:ascii="TimesNewRomanPSMT" w:hAnsi="TimesNewRomanPSMT" w:cs="TimesNewRomanPSMT"/>
        </w:rPr>
        <w:t>] [</w:t>
      </w:r>
      <w:r w:rsidRPr="00E0426B">
        <w:rPr>
          <w:i/>
          <w:iCs/>
        </w:rPr>
        <w:t>Time Horizon: Operations Planning</w:t>
      </w:r>
      <w:r w:rsidRPr="00E0426B">
        <w:rPr>
          <w:rFonts w:ascii="TimesNewRomanPSMT" w:hAnsi="TimesNewRomanPSMT" w:cs="TimesNewRomanPSMT"/>
        </w:rPr>
        <w:t>]</w:t>
      </w:r>
    </w:p>
    <w:p w:rsidR="00E0426B" w:rsidRPr="00AA04EF" w:rsidRDefault="00E0426B" w:rsidP="00E0426B">
      <w:pPr>
        <w:pStyle w:val="Requirement"/>
        <w:numPr>
          <w:ilvl w:val="1"/>
          <w:numId w:val="5"/>
        </w:numPr>
        <w:tabs>
          <w:tab w:val="clear" w:pos="1726"/>
          <w:tab w:val="clear" w:pos="3240"/>
          <w:tab w:val="num" w:pos="1872"/>
        </w:tabs>
        <w:ind w:left="1872"/>
        <w:rPr>
          <w:bCs/>
        </w:rPr>
      </w:pPr>
      <w:r w:rsidRPr="00AA04EF">
        <w:t xml:space="preserve">Contains </w:t>
      </w:r>
      <w:r>
        <w:t xml:space="preserve">generation </w:t>
      </w:r>
      <w:r w:rsidRPr="00AA04EF">
        <w:t>Facility Ratings</w:t>
      </w:r>
      <w:r>
        <w:t>, such as generation maximum and minimum output levels,</w:t>
      </w:r>
      <w:r w:rsidRPr="00AA04EF">
        <w:t xml:space="preserve"> specified by the Generator Owners of the Facilities within the model</w:t>
      </w:r>
      <w:r>
        <w:t>.</w:t>
      </w:r>
    </w:p>
    <w:p w:rsidR="00E0426B" w:rsidRPr="00AA04EF" w:rsidRDefault="00E0426B" w:rsidP="00E0426B">
      <w:pPr>
        <w:pStyle w:val="Requirement"/>
        <w:numPr>
          <w:ilvl w:val="1"/>
          <w:numId w:val="5"/>
        </w:numPr>
        <w:tabs>
          <w:tab w:val="clear" w:pos="1726"/>
          <w:tab w:val="clear" w:pos="3240"/>
          <w:tab w:val="num" w:pos="1872"/>
        </w:tabs>
        <w:ind w:left="1872"/>
        <w:rPr>
          <w:bCs/>
        </w:rPr>
      </w:pPr>
      <w:r w:rsidRPr="00AA04EF">
        <w:t xml:space="preserve">Updated at least once per day for </w:t>
      </w:r>
      <w:smartTag w:uri="urn:schemas-microsoft-com:office:smarttags" w:element="stockticker">
        <w:r w:rsidRPr="00AA04EF">
          <w:t>AFC</w:t>
        </w:r>
      </w:smartTag>
      <w:r w:rsidRPr="00AA04EF">
        <w:t xml:space="preserve"> calculations for intra-day, next day, and days two through 30</w:t>
      </w:r>
      <w:r>
        <w:t>.</w:t>
      </w:r>
    </w:p>
    <w:p w:rsidR="00E0426B" w:rsidRPr="00AA04EF" w:rsidRDefault="00E0426B" w:rsidP="00E0426B">
      <w:pPr>
        <w:pStyle w:val="Requirement"/>
        <w:numPr>
          <w:ilvl w:val="1"/>
          <w:numId w:val="5"/>
        </w:numPr>
        <w:tabs>
          <w:tab w:val="clear" w:pos="1726"/>
          <w:tab w:val="clear" w:pos="3240"/>
          <w:tab w:val="num" w:pos="1872"/>
        </w:tabs>
        <w:ind w:left="1872"/>
        <w:rPr>
          <w:bCs/>
        </w:rPr>
      </w:pPr>
      <w:r w:rsidRPr="00AA04EF">
        <w:t xml:space="preserve">Updated at least once per month for </w:t>
      </w:r>
      <w:smartTag w:uri="urn:schemas-microsoft-com:office:smarttags" w:element="stockticker">
        <w:r w:rsidRPr="00AA04EF">
          <w:t>AFC</w:t>
        </w:r>
      </w:smartTag>
      <w:r w:rsidRPr="00AA04EF">
        <w:t xml:space="preserve"> calculations for months two through 13</w:t>
      </w:r>
      <w:r>
        <w:t>.</w:t>
      </w:r>
    </w:p>
    <w:p w:rsidR="00E0426B" w:rsidRPr="008342B8" w:rsidRDefault="00E0426B" w:rsidP="00E0426B">
      <w:pPr>
        <w:numPr>
          <w:ilvl w:val="1"/>
          <w:numId w:val="5"/>
        </w:numPr>
        <w:tabs>
          <w:tab w:val="clear" w:pos="1726"/>
          <w:tab w:val="num" w:pos="1872"/>
        </w:tabs>
        <w:autoSpaceDE/>
        <w:autoSpaceDN/>
        <w:adjustRightInd/>
        <w:spacing w:after="120"/>
        <w:ind w:left="1872"/>
        <w:rPr>
          <w:rFonts w:ascii="Times New Roman" w:hAnsi="Times New Roman" w:cs="Times New Roman"/>
          <w:bCs/>
          <w:sz w:val="24"/>
          <w:szCs w:val="24"/>
        </w:rPr>
      </w:pPr>
      <w:r w:rsidRPr="008342B8">
        <w:rPr>
          <w:rFonts w:ascii="Times New Roman" w:hAnsi="Times New Roman" w:cs="Times New Roman"/>
          <w:sz w:val="24"/>
          <w:szCs w:val="24"/>
        </w:rPr>
        <w:t>Contains modeling data and system topology for the Facilities within its Reliability Coordinator’s Area. Equivalent representation of radial lines and Facilities161kV or below is allowed.</w:t>
      </w:r>
    </w:p>
    <w:p w:rsidR="00E0426B" w:rsidRPr="008342B8" w:rsidRDefault="00E0426B" w:rsidP="00E0426B">
      <w:pPr>
        <w:numPr>
          <w:ilvl w:val="1"/>
          <w:numId w:val="5"/>
        </w:numPr>
        <w:tabs>
          <w:tab w:val="clear" w:pos="1726"/>
          <w:tab w:val="num" w:pos="1872"/>
        </w:tabs>
        <w:autoSpaceDE/>
        <w:autoSpaceDN/>
        <w:adjustRightInd/>
        <w:spacing w:after="120"/>
        <w:ind w:left="1872"/>
        <w:rPr>
          <w:rFonts w:ascii="Times New Roman" w:hAnsi="Times New Roman" w:cs="Times New Roman"/>
          <w:bCs/>
          <w:sz w:val="24"/>
          <w:szCs w:val="24"/>
        </w:rPr>
      </w:pPr>
      <w:r w:rsidRPr="008342B8">
        <w:rPr>
          <w:rFonts w:ascii="Times New Roman" w:hAnsi="Times New Roman" w:cs="Times New Roman"/>
          <w:sz w:val="24"/>
          <w:szCs w:val="24"/>
        </w:rPr>
        <w:t>Contains modeling data and system topology (or equivalent representation) for immediately adjacent and beyond Reliability Coordination Areas.</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D2FD5"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R3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8E7CBF">
        <w:rPr>
          <w:rFonts w:ascii="Times New Roman" w:hAnsi="Times New Roman" w:cs="Times New Roman"/>
          <w:b/>
          <w:bCs/>
          <w:color w:val="003366"/>
          <w:sz w:val="24"/>
          <w:szCs w:val="24"/>
        </w:rPr>
        <w:t>MOD-0</w:t>
      </w:r>
      <w:r w:rsidR="00F636FC">
        <w:rPr>
          <w:rFonts w:ascii="Times New Roman" w:hAnsi="Times New Roman" w:cs="Times New Roman"/>
          <w:b/>
          <w:bCs/>
          <w:color w:val="003366"/>
          <w:sz w:val="24"/>
          <w:szCs w:val="24"/>
        </w:rPr>
        <w:t>30</w:t>
      </w:r>
      <w:r w:rsidR="001D0C8A">
        <w:rPr>
          <w:rFonts w:ascii="Times New Roman" w:hAnsi="Times New Roman" w:cs="Times New Roman"/>
          <w:b/>
          <w:bCs/>
          <w:color w:val="003366"/>
          <w:sz w:val="24"/>
          <w:szCs w:val="24"/>
        </w:rPr>
        <w:t>-</w:t>
      </w:r>
      <w:r w:rsidR="00F636FC">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R3</w:t>
      </w:r>
    </w:p>
    <w:p w:rsidR="005E50A4" w:rsidRPr="001F467C" w:rsidRDefault="005E50A4" w:rsidP="005E50A4">
      <w:pPr>
        <w:rPr>
          <w:rFonts w:ascii="Times New Roman" w:hAnsi="Times New Roman" w:cs="Times New Roman"/>
          <w:sz w:val="24"/>
          <w:szCs w:val="24"/>
        </w:rPr>
      </w:pPr>
    </w:p>
    <w:p w:rsidR="00801FFF" w:rsidRDefault="00801FFF" w:rsidP="00801FFF">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TOP made available to the TSP a Transmission model to determine AFC that meets </w:t>
      </w: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the following criteria:</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Generation Facility Ratings</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Updated once per day for AFC calculations for intra-day, next </w:t>
      </w:r>
      <w:r w:rsidR="00DA5251">
        <w:rPr>
          <w:rFonts w:ascii="Times New Roman" w:hAnsi="Times New Roman" w:cs="Times New Roman"/>
          <w:color w:val="365F91"/>
          <w:sz w:val="24"/>
          <w:szCs w:val="24"/>
        </w:rPr>
        <w:t xml:space="preserve">day </w:t>
      </w:r>
      <w:r>
        <w:rPr>
          <w:rFonts w:ascii="Times New Roman" w:hAnsi="Times New Roman" w:cs="Times New Roman"/>
          <w:color w:val="365F91"/>
          <w:sz w:val="24"/>
          <w:szCs w:val="24"/>
        </w:rPr>
        <w:t xml:space="preserve">and days two through                   </w:t>
      </w: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30</w:t>
      </w: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Updated at least once per month for AFC calculations for months two through 13</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Contains modeling data and system topology for the Facilities within its RC area.</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4B45F9">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Contains modeling data and system topology for immediately adjacent and beyond RC </w:t>
      </w: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areas.</w:t>
      </w:r>
    </w:p>
    <w:p w:rsidR="00801FFF" w:rsidRPr="005E50A4" w:rsidRDefault="00801FFF" w:rsidP="00801FFF">
      <w:pPr>
        <w:ind w:left="360"/>
        <w:rPr>
          <w:rFonts w:ascii="Times New Roman" w:hAnsi="Times New Roman" w:cs="Times New Roman"/>
          <w:color w:val="365F91"/>
          <w:sz w:val="24"/>
          <w:szCs w:val="24"/>
        </w:rPr>
      </w:pPr>
    </w:p>
    <w:p w:rsidR="005E50A4" w:rsidRPr="001F467C" w:rsidRDefault="005E50A4" w:rsidP="005E50A4">
      <w:pPr>
        <w:widowControl w:val="0"/>
        <w:tabs>
          <w:tab w:val="left" w:pos="60"/>
        </w:tabs>
        <w:spacing w:line="294" w:lineRule="exact"/>
        <w:rPr>
          <w:rFonts w:ascii="Times New Roman" w:hAnsi="Times New Roman" w:cs="Times New Roman"/>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rsidR="005E50A4" w:rsidRPr="001F467C" w:rsidRDefault="005E50A4" w:rsidP="002D1C0A">
      <w:pPr>
        <w:pStyle w:val="Requirement"/>
        <w:numPr>
          <w:ilvl w:val="0"/>
          <w:numId w:val="0"/>
        </w:numPr>
        <w:tabs>
          <w:tab w:val="left" w:pos="2592"/>
        </w:tabs>
        <w:ind w:left="360"/>
      </w:pPr>
    </w:p>
    <w:p w:rsidR="00E0426B" w:rsidRPr="004E71C2" w:rsidRDefault="00E0426B" w:rsidP="00E0426B">
      <w:pPr>
        <w:pStyle w:val="Requirement"/>
        <w:tabs>
          <w:tab w:val="clear" w:pos="720"/>
          <w:tab w:val="num" w:pos="1080"/>
        </w:tabs>
        <w:ind w:left="1080" w:hanging="576"/>
      </w:pPr>
      <w:r>
        <w:t xml:space="preserve">When calculating AFCs, the Transmission Service Provider shall represent the impact of </w:t>
      </w:r>
      <w:r w:rsidRPr="004E71C2">
        <w:t xml:space="preserve">Transmission Service as follows: </w:t>
      </w:r>
      <w:r w:rsidRPr="004E71C2">
        <w:rPr>
          <w:rFonts w:ascii="TimesNewRomanPSMT" w:hAnsi="TimesNewRomanPSMT" w:cs="TimesNewRomanPSMT"/>
        </w:rPr>
        <w:t>[</w:t>
      </w:r>
      <w:r w:rsidRPr="004E71C2">
        <w:rPr>
          <w:i/>
          <w:iCs/>
        </w:rPr>
        <w:t xml:space="preserve">Violation Risk Factor: </w:t>
      </w:r>
      <w:r>
        <w:rPr>
          <w:i/>
          <w:iCs/>
        </w:rPr>
        <w:t>To Be Determined</w:t>
      </w:r>
      <w:r w:rsidRPr="004E71C2">
        <w:rPr>
          <w:rFonts w:ascii="TimesNewRomanPSMT" w:hAnsi="TimesNewRomanPSMT" w:cs="TimesNewRomanPSMT"/>
        </w:rPr>
        <w:t>] [</w:t>
      </w:r>
      <w:r w:rsidRPr="004E71C2">
        <w:rPr>
          <w:i/>
          <w:iCs/>
        </w:rPr>
        <w:t>Time Horizon: Operations Planning</w:t>
      </w:r>
      <w:r w:rsidRPr="004E71C2">
        <w:rPr>
          <w:rFonts w:ascii="TimesNewRomanPSMT" w:hAnsi="TimesNewRomanPSMT" w:cs="TimesNewRomanPSMT"/>
        </w:rPr>
        <w:t>]</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source, as specified in the ATCID, has been identified in the reservation and it is discretely modeled in the Transmission Service Provider’s Transmission model, use the discretely modeled point as the source.</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source, as specified in the ATCID, has been identified in the reservation and the point can be mapped to an “equivalence” or “aggregate” representation in the Transmission Service Provider’s Transmission model, use the modeled equivalence or aggregate as the source.</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source, as specified in the ATCID, has been identified in the reservation and the point cannot be mapped to a discretely modeled point or an “equivalence” representation in the Transmission Service Provider’s Transmission model, use the immediately adjacent Balancing Authority associated with the Transmission Service Provider from which the power is to be received as the source.</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source, as specified in the ATCID, has not been identified in the reservation use the immediately adjacent Balancing Authority associated with the Transmission Service Provider from which the power is to be received as the source.</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sink, as specified in the ATCID, has been identified in the reservation and it is discretely modeled in the Transmission Service Provider’s Transmission model, use the discretely modeled point as the sink.</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sink, as specified in the ATCID, has been identified in the reservation and the point can be mapped to an “equivalence” or “aggregate” representation in the Transmission Service Provider’s Transmission model, use the modeled equivalence or aggregate as the sink.</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sink, as specified in the ATCID, has been identified in the reservation and the point cannot be mapped to a discretely modeled point or an “equivalence” representation in the Transmission Service Provider’s Transmission model, use the immediately adjacent Balancing Authority associated with the Transmission Service Provider receiving the power as the sink.</w:t>
      </w:r>
    </w:p>
    <w:p w:rsidR="00E0426B" w:rsidRPr="00C23F15" w:rsidRDefault="00E0426B" w:rsidP="00E0426B">
      <w:pPr>
        <w:numPr>
          <w:ilvl w:val="0"/>
          <w:numId w:val="20"/>
        </w:numPr>
        <w:tabs>
          <w:tab w:val="clear" w:pos="2232"/>
          <w:tab w:val="left" w:pos="1620"/>
        </w:tabs>
        <w:autoSpaceDE/>
        <w:autoSpaceDN/>
        <w:adjustRightInd/>
        <w:spacing w:after="120"/>
        <w:ind w:left="1620" w:hanging="540"/>
        <w:rPr>
          <w:rFonts w:ascii="Times New Roman" w:hAnsi="Times New Roman" w:cs="Times New Roman"/>
          <w:sz w:val="24"/>
          <w:szCs w:val="24"/>
        </w:rPr>
      </w:pPr>
      <w:r w:rsidRPr="00C23F15">
        <w:rPr>
          <w:rFonts w:ascii="Times New Roman" w:hAnsi="Times New Roman" w:cs="Times New Roman"/>
          <w:sz w:val="24"/>
          <w:szCs w:val="24"/>
        </w:rPr>
        <w:t>If the sink, as specified</w:t>
      </w:r>
      <w:r w:rsidRPr="00C23F15" w:rsidDel="009B2B08">
        <w:rPr>
          <w:rFonts w:ascii="Times New Roman" w:hAnsi="Times New Roman" w:cs="Times New Roman"/>
          <w:sz w:val="24"/>
          <w:szCs w:val="24"/>
        </w:rPr>
        <w:t xml:space="preserve"> </w:t>
      </w:r>
      <w:r w:rsidRPr="00C23F15">
        <w:rPr>
          <w:rFonts w:ascii="Times New Roman" w:hAnsi="Times New Roman" w:cs="Times New Roman"/>
          <w:sz w:val="24"/>
          <w:szCs w:val="24"/>
        </w:rPr>
        <w:t>in the ATCID, has not been identified</w:t>
      </w:r>
      <w:r w:rsidRPr="00C23F15" w:rsidDel="009B6D73">
        <w:rPr>
          <w:rFonts w:ascii="Times New Roman" w:hAnsi="Times New Roman" w:cs="Times New Roman"/>
          <w:sz w:val="24"/>
          <w:szCs w:val="24"/>
        </w:rPr>
        <w:t xml:space="preserve"> </w:t>
      </w:r>
      <w:r w:rsidRPr="00C23F15">
        <w:rPr>
          <w:rFonts w:ascii="Times New Roman" w:hAnsi="Times New Roman" w:cs="Times New Roman"/>
          <w:sz w:val="24"/>
          <w:szCs w:val="24"/>
        </w:rPr>
        <w:t>in the reservation use the immediately adjacent Balancing Authority associated with the Transmission Service Provider receiving the power as the sink.</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R4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8342B8">
        <w:rPr>
          <w:rFonts w:ascii="Times New Roman" w:hAnsi="Times New Roman" w:cs="Times New Roman"/>
          <w:b/>
          <w:bCs/>
          <w:color w:val="003366"/>
          <w:sz w:val="24"/>
          <w:szCs w:val="24"/>
        </w:rPr>
        <w:t>30</w:t>
      </w:r>
      <w:r w:rsidR="001D0C8A">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801FFF" w:rsidRPr="005E50A4"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TSP represented the impact of Transmission Service when calculating AFCs as follows:</w:t>
      </w:r>
    </w:p>
    <w:p w:rsidR="00801FFF" w:rsidRPr="005E50A4" w:rsidRDefault="00801FFF" w:rsidP="00801FFF">
      <w:pPr>
        <w:ind w:left="360"/>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discretely modeled point as the source if identified in the reservation and is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discreetly modeled in the TSPs Transmission model</w:t>
      </w:r>
    </w:p>
    <w:p w:rsidR="00801FFF" w:rsidRPr="005E50A4" w:rsidRDefault="00801FFF" w:rsidP="00801FFF">
      <w:pPr>
        <w:ind w:left="360"/>
        <w:rPr>
          <w:rFonts w:ascii="Times New Roman" w:hAnsi="Times New Roman" w:cs="Times New Roman"/>
          <w:color w:val="365F91"/>
          <w:sz w:val="24"/>
          <w:szCs w:val="24"/>
        </w:rPr>
      </w:pPr>
    </w:p>
    <w:p w:rsidR="00DA5251"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equivalence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or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aggregate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representation modeled point as the source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if </w:t>
      </w:r>
    </w:p>
    <w:p w:rsidR="00801FFF" w:rsidRDefault="00DA5251"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Pr>
          <w:rFonts w:ascii="Times New Roman" w:hAnsi="Times New Roman" w:cs="Times New Roman"/>
          <w:color w:val="365F91"/>
          <w:sz w:val="24"/>
          <w:szCs w:val="24"/>
        </w:rPr>
        <w:t>identified in the reservation and the point can be mapped in the TSPs Transmission model</w:t>
      </w:r>
    </w:p>
    <w:p w:rsidR="00801FFF" w:rsidRDefault="00801FFF" w:rsidP="00801FFF">
      <w:pPr>
        <w:tabs>
          <w:tab w:val="left" w:pos="1530"/>
        </w:tabs>
        <w:ind w:left="361"/>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immediately adjacent BA associated to the TSP from which the power is to be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received as the source if the source has been identified in the reservation and cannot be mapped </w:t>
      </w:r>
    </w:p>
    <w:p w:rsidR="00DA5251"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to a discretely modeled point or an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equivalence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representation in the TSPs Transmission </w:t>
      </w:r>
    </w:p>
    <w:p w:rsidR="00801FFF" w:rsidRDefault="00DA5251"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Pr>
          <w:rFonts w:ascii="Times New Roman" w:hAnsi="Times New Roman" w:cs="Times New Roman"/>
          <w:color w:val="365F91"/>
          <w:sz w:val="24"/>
          <w:szCs w:val="24"/>
        </w:rPr>
        <w:t>model.</w:t>
      </w:r>
    </w:p>
    <w:p w:rsidR="00DA5251" w:rsidRDefault="00DA5251" w:rsidP="00801FFF">
      <w:pPr>
        <w:tabs>
          <w:tab w:val="left" w:pos="1530"/>
        </w:tabs>
        <w:ind w:left="361"/>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immediately adjacent BA associated to the TSP from which the power is to be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received as the source, if the source has not been identified in the reservation </w:t>
      </w:r>
    </w:p>
    <w:p w:rsidR="00801FFF" w:rsidRDefault="00801FFF" w:rsidP="00801FFF">
      <w:pPr>
        <w:widowControl w:val="0"/>
        <w:tabs>
          <w:tab w:val="left" w:pos="60"/>
        </w:tabs>
        <w:spacing w:line="294" w:lineRule="exact"/>
        <w:rPr>
          <w:rFonts w:ascii="Times New Roman" w:hAnsi="Times New Roman" w:cs="Times New Roman"/>
          <w:color w:val="365F91"/>
          <w:sz w:val="24"/>
          <w:szCs w:val="24"/>
        </w:rPr>
      </w:pPr>
    </w:p>
    <w:p w:rsidR="00801FFF" w:rsidRDefault="00DA5251" w:rsidP="00801FFF">
      <w:pPr>
        <w:tabs>
          <w:tab w:val="left" w:pos="1530"/>
        </w:tabs>
        <w:ind w:left="361"/>
        <w:rPr>
          <w:rFonts w:ascii="Times New Roman" w:hAnsi="Times New Roman" w:cs="Times New Roman"/>
          <w:color w:val="365F91"/>
          <w:sz w:val="24"/>
          <w:szCs w:val="24"/>
        </w:rPr>
      </w:pPr>
      <w:r>
        <w:rPr>
          <w:rFonts w:ascii="Times New Roman" w:hAnsi="Times New Roman" w:cs="Times New Roman"/>
          <w:bCs/>
          <w:color w:val="365F91"/>
          <w:sz w:val="24"/>
          <w:szCs w:val="24"/>
        </w:rPr>
        <w:tab/>
      </w:r>
      <w:r w:rsidR="00801FFF" w:rsidRPr="005E50A4">
        <w:rPr>
          <w:rFonts w:ascii="Times New Roman" w:hAnsi="Times New Roman" w:cs="Times New Roman"/>
          <w:bCs/>
          <w:color w:val="365F91"/>
          <w:sz w:val="24"/>
          <w:szCs w:val="24"/>
        </w:rPr>
        <w:t>___</w:t>
      </w:r>
      <w:r w:rsidR="00801FFF" w:rsidRPr="005E50A4">
        <w:rPr>
          <w:rFonts w:ascii="Times New Roman" w:hAnsi="Times New Roman" w:cs="Times New Roman"/>
          <w:color w:val="365F91"/>
          <w:sz w:val="24"/>
          <w:szCs w:val="24"/>
        </w:rPr>
        <w:t xml:space="preserve"> </w:t>
      </w:r>
      <w:r w:rsidR="00801FFF">
        <w:rPr>
          <w:rFonts w:ascii="Times New Roman" w:hAnsi="Times New Roman" w:cs="Times New Roman"/>
          <w:color w:val="365F91"/>
          <w:sz w:val="24"/>
          <w:szCs w:val="24"/>
        </w:rPr>
        <w:t xml:space="preserve">Used the discretely modeled point as the sink if identified in the reservation and is </w:t>
      </w:r>
    </w:p>
    <w:p w:rsidR="00801FFF" w:rsidRDefault="00801FFF" w:rsidP="00801FFF">
      <w:pPr>
        <w:tabs>
          <w:tab w:val="left" w:pos="81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A5251">
        <w:rPr>
          <w:rFonts w:ascii="Times New Roman" w:hAnsi="Times New Roman" w:cs="Times New Roman"/>
          <w:color w:val="365F91"/>
          <w:sz w:val="24"/>
          <w:szCs w:val="24"/>
        </w:rPr>
        <w:tab/>
      </w:r>
      <w:r w:rsidR="00DA5251">
        <w:rPr>
          <w:rFonts w:ascii="Times New Roman" w:hAnsi="Times New Roman" w:cs="Times New Roman"/>
          <w:color w:val="365F91"/>
          <w:sz w:val="24"/>
          <w:szCs w:val="24"/>
        </w:rPr>
        <w:tab/>
        <w:t xml:space="preserve">          </w:t>
      </w:r>
      <w:r>
        <w:rPr>
          <w:rFonts w:ascii="Times New Roman" w:hAnsi="Times New Roman" w:cs="Times New Roman"/>
          <w:color w:val="365F91"/>
          <w:sz w:val="24"/>
          <w:szCs w:val="24"/>
        </w:rPr>
        <w:t xml:space="preserve">  discreetly modeled in the TSPs Transmission model</w:t>
      </w:r>
    </w:p>
    <w:p w:rsidR="00801FFF" w:rsidRPr="005E50A4" w:rsidRDefault="00801FFF" w:rsidP="00801FFF">
      <w:pPr>
        <w:ind w:left="360"/>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equivalence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or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aggregate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representation modeled point as the sink if identified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in the reservation and the point can be mapped in the TSPs Transmission model</w:t>
      </w:r>
    </w:p>
    <w:p w:rsidR="00801FFF" w:rsidRDefault="00801FFF" w:rsidP="00801FFF">
      <w:pPr>
        <w:tabs>
          <w:tab w:val="left" w:pos="1530"/>
        </w:tabs>
        <w:ind w:left="361"/>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immediately adjacent BA associated to the TSP from which the power is to be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EB1142">
        <w:rPr>
          <w:rFonts w:ascii="Times New Roman" w:hAnsi="Times New Roman" w:cs="Times New Roman"/>
          <w:color w:val="365F91"/>
          <w:sz w:val="24"/>
          <w:szCs w:val="24"/>
        </w:rPr>
        <w:t>received</w:t>
      </w:r>
      <w:r>
        <w:rPr>
          <w:rFonts w:ascii="Times New Roman" w:hAnsi="Times New Roman" w:cs="Times New Roman"/>
          <w:color w:val="365F91"/>
          <w:sz w:val="24"/>
          <w:szCs w:val="24"/>
        </w:rPr>
        <w:t xml:space="preserve"> as the sink</w:t>
      </w:r>
      <w:r w:rsidR="00C03462">
        <w:rPr>
          <w:rFonts w:ascii="Times New Roman" w:hAnsi="Times New Roman" w:cs="Times New Roman"/>
          <w:color w:val="365F91"/>
          <w:sz w:val="24"/>
          <w:szCs w:val="24"/>
        </w:rPr>
        <w:t>,</w:t>
      </w:r>
      <w:r>
        <w:rPr>
          <w:rFonts w:ascii="Times New Roman" w:hAnsi="Times New Roman" w:cs="Times New Roman"/>
          <w:color w:val="365F91"/>
          <w:sz w:val="24"/>
          <w:szCs w:val="24"/>
        </w:rPr>
        <w:t xml:space="preserve"> if the sink has been identified in the reservation and cannot be mapped </w:t>
      </w:r>
    </w:p>
    <w:p w:rsidR="00DA5251"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to a discretely modeled point or an </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equivalence</w:t>
      </w:r>
      <w:r w:rsidR="00DA5251">
        <w:rPr>
          <w:rFonts w:ascii="Times New Roman" w:hAnsi="Times New Roman" w:cs="Times New Roman"/>
          <w:color w:val="365F91"/>
          <w:sz w:val="24"/>
          <w:szCs w:val="24"/>
        </w:rPr>
        <w:t>”</w:t>
      </w:r>
      <w:r>
        <w:rPr>
          <w:rFonts w:ascii="Times New Roman" w:hAnsi="Times New Roman" w:cs="Times New Roman"/>
          <w:color w:val="365F91"/>
          <w:sz w:val="24"/>
          <w:szCs w:val="24"/>
        </w:rPr>
        <w:t xml:space="preserve"> representation in the TSPs Transmission </w:t>
      </w:r>
      <w:r w:rsidR="00DA5251">
        <w:rPr>
          <w:rFonts w:ascii="Times New Roman" w:hAnsi="Times New Roman" w:cs="Times New Roman"/>
          <w:color w:val="365F91"/>
          <w:sz w:val="24"/>
          <w:szCs w:val="24"/>
        </w:rPr>
        <w:t xml:space="preserve"> </w:t>
      </w:r>
    </w:p>
    <w:p w:rsidR="00801FFF" w:rsidRDefault="00DA5251"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Pr>
          <w:rFonts w:ascii="Times New Roman" w:hAnsi="Times New Roman" w:cs="Times New Roman"/>
          <w:color w:val="365F91"/>
          <w:sz w:val="24"/>
          <w:szCs w:val="24"/>
        </w:rPr>
        <w:t>model.</w:t>
      </w:r>
    </w:p>
    <w:p w:rsidR="00801FFF" w:rsidRDefault="00801FFF" w:rsidP="00801FFF">
      <w:pPr>
        <w:tabs>
          <w:tab w:val="left" w:pos="1530"/>
        </w:tabs>
        <w:ind w:left="361"/>
        <w:rPr>
          <w:rFonts w:ascii="Times New Roman" w:hAnsi="Times New Roman" w:cs="Times New Roman"/>
          <w:color w:val="365F91"/>
          <w:sz w:val="24"/>
          <w:szCs w:val="24"/>
        </w:rPr>
      </w:pPr>
    </w:p>
    <w:p w:rsidR="00801FFF" w:rsidRDefault="00801FFF" w:rsidP="00801FFF">
      <w:pPr>
        <w:tabs>
          <w:tab w:val="left" w:pos="153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Used the immediately adjacent BA associated to the TSP from which the power is to be </w:t>
      </w:r>
    </w:p>
    <w:p w:rsidR="00801FFF" w:rsidRDefault="00801FFF" w:rsidP="00801FFF">
      <w:pPr>
        <w:tabs>
          <w:tab w:val="left" w:pos="1530"/>
        </w:tabs>
        <w:ind w:left="36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A5251">
        <w:rPr>
          <w:rFonts w:ascii="Times New Roman" w:hAnsi="Times New Roman" w:cs="Times New Roman"/>
          <w:color w:val="365F91"/>
          <w:sz w:val="24"/>
          <w:szCs w:val="24"/>
        </w:rPr>
        <w:t>received</w:t>
      </w:r>
      <w:r>
        <w:rPr>
          <w:rFonts w:ascii="Times New Roman" w:hAnsi="Times New Roman" w:cs="Times New Roman"/>
          <w:color w:val="365F91"/>
          <w:sz w:val="24"/>
          <w:szCs w:val="24"/>
        </w:rPr>
        <w:t xml:space="preserve"> as the sink, if the sink has not been identified in the reservation </w:t>
      </w:r>
    </w:p>
    <w:p w:rsidR="00801FFF" w:rsidRDefault="00801FFF" w:rsidP="00801FFF">
      <w:pPr>
        <w:tabs>
          <w:tab w:val="left" w:pos="1530"/>
        </w:tabs>
        <w:ind w:left="361"/>
        <w:rPr>
          <w:rFonts w:ascii="Times New Roman" w:hAnsi="Times New Roman" w:cs="Times New Roman"/>
          <w:color w:val="365F91"/>
          <w:sz w:val="24"/>
          <w:szCs w:val="24"/>
        </w:rPr>
      </w:pPr>
    </w:p>
    <w:p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Default="005E50A4" w:rsidP="005E50A4">
      <w:pPr>
        <w:widowControl w:val="0"/>
        <w:tabs>
          <w:tab w:val="left" w:pos="60"/>
        </w:tabs>
        <w:spacing w:line="200" w:lineRule="exact"/>
        <w:rPr>
          <w:rFonts w:ascii="Times New Roman" w:hAnsi="Times New Roman" w:cs="Times New Roman"/>
          <w:b/>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bookmarkStart w:id="3" w:name="FERC"/>
      <w:bookmarkEnd w:id="3"/>
      <w:r w:rsidRPr="001F467C">
        <w:rPr>
          <w:rFonts w:ascii="Times New Roman" w:hAnsi="Times New Roman" w:cs="Times New Roman"/>
          <w:sz w:val="24"/>
          <w:szCs w:val="24"/>
        </w:rPr>
        <w:t xml:space="preserve"> </w:t>
      </w:r>
    </w:p>
    <w:p w:rsidR="005E50A4" w:rsidRDefault="005E50A4" w:rsidP="005E50A4">
      <w:pPr>
        <w:widowControl w:val="0"/>
        <w:tabs>
          <w:tab w:val="left" w:pos="60"/>
        </w:tabs>
        <w:spacing w:line="200" w:lineRule="exact"/>
        <w:rPr>
          <w:rFonts w:ascii="Times New Roman" w:hAnsi="Times New Roman" w:cs="Times New Roman"/>
          <w:sz w:val="24"/>
          <w:szCs w:val="24"/>
        </w:rPr>
      </w:pPr>
    </w:p>
    <w:p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1"/>
        </w:numPr>
        <w:tabs>
          <w:tab w:val="left" w:pos="-1800"/>
        </w:tabs>
        <w:autoSpaceDE/>
        <w:autoSpaceDN/>
        <w:adjustRightInd/>
        <w:spacing w:after="120"/>
        <w:rPr>
          <w:rFonts w:ascii="Times New Roman" w:hAnsi="Times New Roman" w:cs="Times New Roman"/>
          <w:vanish/>
          <w:sz w:val="24"/>
          <w:szCs w:val="24"/>
        </w:rPr>
      </w:pPr>
    </w:p>
    <w:p w:rsidR="00E0426B" w:rsidRPr="004E71C2" w:rsidRDefault="00E0426B" w:rsidP="00E0426B">
      <w:pPr>
        <w:pStyle w:val="Requirement"/>
        <w:numPr>
          <w:ilvl w:val="0"/>
          <w:numId w:val="21"/>
        </w:numPr>
        <w:tabs>
          <w:tab w:val="clear" w:pos="3240"/>
          <w:tab w:val="left" w:pos="-1800"/>
        </w:tabs>
      </w:pPr>
      <w:r w:rsidRPr="004E71C2">
        <w:t xml:space="preserve">When calculating AFCs, the Transmission Service Provider shall: </w:t>
      </w:r>
      <w:r w:rsidRPr="00E0426B">
        <w:rPr>
          <w:rFonts w:ascii="TimesNewRomanPSMT" w:hAnsi="TimesNewRomanPSMT" w:cs="TimesNewRomanPSMT"/>
        </w:rPr>
        <w:t>[</w:t>
      </w:r>
      <w:r w:rsidRPr="00E0426B">
        <w:rPr>
          <w:i/>
          <w:iCs/>
        </w:rPr>
        <w:t>Violation Risk Factor: To Be Determined</w:t>
      </w:r>
      <w:r w:rsidRPr="00E0426B">
        <w:rPr>
          <w:rFonts w:ascii="TimesNewRomanPSMT" w:hAnsi="TimesNewRomanPSMT" w:cs="TimesNewRomanPSMT"/>
        </w:rPr>
        <w:t>] [</w:t>
      </w:r>
      <w:r w:rsidRPr="00E0426B">
        <w:rPr>
          <w:i/>
          <w:iCs/>
        </w:rPr>
        <w:t>Time Horizon: Operations Planning</w:t>
      </w:r>
      <w:r w:rsidRPr="00E0426B">
        <w:rPr>
          <w:rFonts w:ascii="TimesNewRomanPSMT" w:hAnsi="TimesNewRomanPSMT" w:cs="TimesNewRomanPSMT"/>
        </w:rPr>
        <w:t>]</w:t>
      </w:r>
    </w:p>
    <w:p w:rsidR="00E0426B" w:rsidRDefault="00E0426B" w:rsidP="00E0426B">
      <w:pPr>
        <w:pStyle w:val="Requirement"/>
        <w:numPr>
          <w:ilvl w:val="1"/>
          <w:numId w:val="5"/>
        </w:numPr>
        <w:tabs>
          <w:tab w:val="clear" w:pos="1726"/>
          <w:tab w:val="clear" w:pos="3240"/>
          <w:tab w:val="left" w:pos="-1800"/>
          <w:tab w:val="num" w:pos="1800"/>
        </w:tabs>
        <w:ind w:left="1872"/>
      </w:pPr>
      <w:r>
        <w:t>Use the models provided by the Transmission Operator.</w:t>
      </w:r>
    </w:p>
    <w:p w:rsidR="00E0426B" w:rsidRPr="004B7D53" w:rsidRDefault="00E0426B" w:rsidP="00E0426B">
      <w:pPr>
        <w:pStyle w:val="Requirement"/>
        <w:numPr>
          <w:ilvl w:val="1"/>
          <w:numId w:val="5"/>
        </w:numPr>
        <w:tabs>
          <w:tab w:val="clear" w:pos="1726"/>
          <w:tab w:val="clear" w:pos="3240"/>
          <w:tab w:val="left" w:pos="-1800"/>
          <w:tab w:val="num" w:pos="1800"/>
        </w:tabs>
        <w:ind w:left="1800" w:hanging="720"/>
      </w:pPr>
      <w:r w:rsidRPr="004B7D53">
        <w:t xml:space="preserve">Include </w:t>
      </w:r>
      <w:r>
        <w:t xml:space="preserve">in the transmission model </w:t>
      </w:r>
      <w:r w:rsidRPr="004B7D53">
        <w:t xml:space="preserve">expected generation and </w:t>
      </w:r>
      <w:r>
        <w:t>T</w:t>
      </w:r>
      <w:r w:rsidRPr="004B7D53">
        <w:t>ransmission outages</w:t>
      </w:r>
      <w:r>
        <w:t>, additions, and retirements</w:t>
      </w:r>
      <w:r w:rsidRPr="004B7D53">
        <w:t xml:space="preserve"> </w:t>
      </w:r>
      <w:r>
        <w:t xml:space="preserve">within the scope of the model as specified in the ATCID and </w:t>
      </w:r>
      <w:r w:rsidRPr="004B7D53">
        <w:t xml:space="preserve">in effect during the </w:t>
      </w:r>
      <w:r>
        <w:t xml:space="preserve">applicable period of the </w:t>
      </w:r>
      <w:smartTag w:uri="urn:schemas-microsoft-com:office:smarttags" w:element="stockticker">
        <w:r>
          <w:t>AFC</w:t>
        </w:r>
      </w:smartTag>
      <w:r>
        <w:t xml:space="preserve"> calculation for the Transmission Service Provider’s area, all adjacent Transmission Service Providers, and any Transmission Service Providers with which coordination agreements have been executed</w:t>
      </w:r>
      <w:r w:rsidRPr="004B7D53">
        <w:t xml:space="preserve">.  </w:t>
      </w:r>
    </w:p>
    <w:p w:rsidR="00E0426B" w:rsidRDefault="00E0426B" w:rsidP="00E0426B">
      <w:pPr>
        <w:pStyle w:val="Requirement"/>
        <w:numPr>
          <w:ilvl w:val="1"/>
          <w:numId w:val="5"/>
        </w:numPr>
        <w:tabs>
          <w:tab w:val="clear" w:pos="1726"/>
          <w:tab w:val="clear" w:pos="3240"/>
          <w:tab w:val="left" w:pos="-1800"/>
        </w:tabs>
        <w:ind w:left="1800" w:hanging="720"/>
      </w:pPr>
      <w:r w:rsidRPr="004B7D53">
        <w:t xml:space="preserve">For external </w:t>
      </w:r>
      <w:r>
        <w:t>Flowgate</w:t>
      </w:r>
      <w:r w:rsidRPr="004B7D53">
        <w:t xml:space="preserve">s, </w:t>
      </w:r>
      <w:r>
        <w:t>identified in R2.1.4, use</w:t>
      </w:r>
      <w:r w:rsidRPr="004B7D53">
        <w:t xml:space="preserve"> </w:t>
      </w:r>
      <w:r>
        <w:t>the</w:t>
      </w:r>
      <w:r w:rsidRPr="004B7D53">
        <w:t xml:space="preserve"> </w:t>
      </w:r>
      <w:smartTag w:uri="urn:schemas-microsoft-com:office:smarttags" w:element="stockticker">
        <w:r w:rsidRPr="004B7D53">
          <w:t>AFC</w:t>
        </w:r>
      </w:smartTag>
      <w:r w:rsidRPr="004B7D53">
        <w:t xml:space="preserve"> provided</w:t>
      </w:r>
      <w:r>
        <w:t xml:space="preserve"> by the Transmission Service Provider that calculates </w:t>
      </w:r>
      <w:smartTag w:uri="urn:schemas-microsoft-com:office:smarttags" w:element="stockticker">
        <w:r>
          <w:t>AFC</w:t>
        </w:r>
      </w:smartTag>
      <w:r>
        <w:t xml:space="preserve"> for that Flowgate.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R5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8342B8">
        <w:rPr>
          <w:rFonts w:ascii="Times New Roman" w:hAnsi="Times New Roman" w:cs="Times New Roman"/>
          <w:b/>
          <w:bCs/>
          <w:color w:val="003366"/>
          <w:sz w:val="24"/>
          <w:szCs w:val="24"/>
        </w:rPr>
        <w:t>5</w:t>
      </w:r>
    </w:p>
    <w:p w:rsidR="00801FFF" w:rsidRPr="005E50A4" w:rsidRDefault="00801FFF" w:rsidP="00801FFF">
      <w:pPr>
        <w:rPr>
          <w:rFonts w:ascii="Times New Roman" w:hAnsi="Times New Roman" w:cs="Times New Roman"/>
          <w:color w:val="365F91"/>
          <w:sz w:val="24"/>
          <w:szCs w:val="24"/>
        </w:rPr>
      </w:pPr>
    </w:p>
    <w:p w:rsidR="00801FFF" w:rsidRPr="005E50A4"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when the TSP calculated AFCs:</w:t>
      </w:r>
    </w:p>
    <w:p w:rsidR="00801FFF" w:rsidRPr="005E50A4" w:rsidRDefault="00801FFF" w:rsidP="00801FFF">
      <w:pPr>
        <w:ind w:left="360"/>
        <w:rPr>
          <w:rFonts w:ascii="Times New Roman" w:hAnsi="Times New Roman" w:cs="Times New Roman"/>
          <w:color w:val="365F91"/>
          <w:sz w:val="24"/>
          <w:szCs w:val="24"/>
        </w:rPr>
      </w:pPr>
    </w:p>
    <w:p w:rsidR="00801FFF" w:rsidRDefault="00801FFF" w:rsidP="00801FFF">
      <w:pPr>
        <w:tabs>
          <w:tab w:val="left" w:pos="900"/>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TSP utilized the models provided by the TOP</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TSP included within the scope of the model as specified in the ATCID and in effect </w:t>
      </w:r>
    </w:p>
    <w:p w:rsidR="00801FFF" w:rsidRDefault="00801FFF" w:rsidP="00801FFF">
      <w:pPr>
        <w:tabs>
          <w:tab w:val="left" w:pos="900"/>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during the applicable period for the AFC calculation for the TSPs area, </w:t>
      </w:r>
      <w:r w:rsidRPr="00A53AB2">
        <w:rPr>
          <w:rFonts w:ascii="Times New Roman" w:hAnsi="Times New Roman" w:cs="Times New Roman"/>
          <w:color w:val="365F91"/>
          <w:sz w:val="24"/>
          <w:szCs w:val="24"/>
        </w:rPr>
        <w:t xml:space="preserve">all adjacent </w:t>
      </w:r>
    </w:p>
    <w:p w:rsidR="00801FFF" w:rsidRDefault="00801FFF" w:rsidP="00801FFF">
      <w:pPr>
        <w:tabs>
          <w:tab w:val="left" w:pos="900"/>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A53AB2">
        <w:rPr>
          <w:rFonts w:ascii="Times New Roman" w:hAnsi="Times New Roman" w:cs="Times New Roman"/>
          <w:color w:val="365F91"/>
          <w:sz w:val="24"/>
          <w:szCs w:val="24"/>
        </w:rPr>
        <w:t xml:space="preserve">Transmission Service Providers, and any Transmission Service Providers with which </w:t>
      </w:r>
    </w:p>
    <w:p w:rsidR="00801FFF" w:rsidRDefault="00801FFF" w:rsidP="00801FFF">
      <w:pPr>
        <w:tabs>
          <w:tab w:val="left" w:pos="900"/>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A53AB2">
        <w:rPr>
          <w:rFonts w:ascii="Times New Roman" w:hAnsi="Times New Roman" w:cs="Times New Roman"/>
          <w:color w:val="365F91"/>
          <w:sz w:val="24"/>
          <w:szCs w:val="24"/>
        </w:rPr>
        <w:t>coordination agreements have been executed</w:t>
      </w:r>
      <w:r>
        <w:rPr>
          <w:rFonts w:ascii="Times New Roman" w:hAnsi="Times New Roman" w:cs="Times New Roman"/>
          <w:color w:val="365F91"/>
          <w:sz w:val="24"/>
          <w:szCs w:val="24"/>
        </w:rPr>
        <w:t xml:space="preserve"> the following : </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980"/>
        </w:tabs>
        <w:ind w:left="36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Expected Generation</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980"/>
        </w:tabs>
        <w:ind w:left="36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Transmission outages</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980"/>
        </w:tabs>
        <w:ind w:left="36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Additions</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980"/>
        </w:tabs>
        <w:ind w:left="36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Retirements</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5C271B" w:rsidRDefault="00801FFF" w:rsidP="00801FFF">
      <w:pPr>
        <w:tabs>
          <w:tab w:val="left" w:pos="900"/>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U</w:t>
      </w:r>
      <w:r w:rsidRPr="00A53AB2">
        <w:rPr>
          <w:rFonts w:ascii="Times New Roman" w:hAnsi="Times New Roman" w:cs="Times New Roman"/>
          <w:color w:val="365F91"/>
          <w:sz w:val="24"/>
          <w:szCs w:val="24"/>
        </w:rPr>
        <w:t>se</w:t>
      </w:r>
      <w:r>
        <w:rPr>
          <w:rFonts w:ascii="Times New Roman" w:hAnsi="Times New Roman" w:cs="Times New Roman"/>
          <w:color w:val="365F91"/>
          <w:sz w:val="24"/>
          <w:szCs w:val="24"/>
        </w:rPr>
        <w:t>d</w:t>
      </w:r>
      <w:r w:rsidRPr="00A53AB2">
        <w:rPr>
          <w:rFonts w:ascii="Times New Roman" w:hAnsi="Times New Roman" w:cs="Times New Roman"/>
          <w:color w:val="365F91"/>
          <w:sz w:val="24"/>
          <w:szCs w:val="24"/>
        </w:rPr>
        <w:t xml:space="preserve"> the </w:t>
      </w:r>
      <w:smartTag w:uri="urn:schemas-microsoft-com:office:smarttags" w:element="stockticker">
        <w:r w:rsidRPr="00A53AB2">
          <w:rPr>
            <w:rFonts w:ascii="Times New Roman" w:hAnsi="Times New Roman" w:cs="Times New Roman"/>
            <w:color w:val="365F91"/>
            <w:sz w:val="24"/>
            <w:szCs w:val="24"/>
          </w:rPr>
          <w:t>AFC</w:t>
        </w:r>
      </w:smartTag>
      <w:r w:rsidRPr="00A53AB2">
        <w:rPr>
          <w:rFonts w:ascii="Times New Roman" w:hAnsi="Times New Roman" w:cs="Times New Roman"/>
          <w:color w:val="365F91"/>
          <w:sz w:val="24"/>
          <w:szCs w:val="24"/>
        </w:rPr>
        <w:t xml:space="preserve"> provided by the </w:t>
      </w:r>
      <w:r w:rsidR="005C271B">
        <w:rPr>
          <w:rFonts w:ascii="Times New Roman" w:hAnsi="Times New Roman" w:cs="Times New Roman"/>
          <w:color w:val="365F91"/>
          <w:sz w:val="24"/>
          <w:szCs w:val="24"/>
        </w:rPr>
        <w:t>TSP</w:t>
      </w:r>
      <w:r w:rsidRPr="00A53AB2">
        <w:rPr>
          <w:rFonts w:ascii="Times New Roman" w:hAnsi="Times New Roman" w:cs="Times New Roman"/>
          <w:color w:val="365F91"/>
          <w:sz w:val="24"/>
          <w:szCs w:val="24"/>
        </w:rPr>
        <w:t xml:space="preserve"> that calculates </w:t>
      </w:r>
      <w:smartTag w:uri="urn:schemas-microsoft-com:office:smarttags" w:element="stockticker">
        <w:r w:rsidRPr="00A53AB2">
          <w:rPr>
            <w:rFonts w:ascii="Times New Roman" w:hAnsi="Times New Roman" w:cs="Times New Roman"/>
            <w:color w:val="365F91"/>
            <w:sz w:val="24"/>
            <w:szCs w:val="24"/>
          </w:rPr>
          <w:t>AFC</w:t>
        </w:r>
      </w:smartTag>
      <w:r>
        <w:rPr>
          <w:rFonts w:ascii="Times New Roman" w:hAnsi="Times New Roman" w:cs="Times New Roman"/>
          <w:color w:val="365F91"/>
          <w:sz w:val="24"/>
          <w:szCs w:val="24"/>
        </w:rPr>
        <w:t xml:space="preserve"> for that </w:t>
      </w:r>
      <w:r>
        <w:rPr>
          <w:rFonts w:ascii="Times New Roman" w:hAnsi="Times New Roman" w:cs="Times New Roman"/>
          <w:color w:val="365F91"/>
          <w:sz w:val="24"/>
          <w:szCs w:val="24"/>
        </w:rPr>
        <w:tab/>
      </w:r>
      <w:r>
        <w:rPr>
          <w:rFonts w:ascii="Times New Roman" w:hAnsi="Times New Roman" w:cs="Times New Roman"/>
          <w:color w:val="365F91"/>
          <w:sz w:val="24"/>
          <w:szCs w:val="24"/>
        </w:rPr>
        <w:tab/>
        <w:t>Flowgate f</w:t>
      </w:r>
      <w:r w:rsidRPr="00A53AB2">
        <w:rPr>
          <w:rFonts w:ascii="Times New Roman" w:hAnsi="Times New Roman" w:cs="Times New Roman"/>
          <w:color w:val="365F91"/>
          <w:sz w:val="24"/>
          <w:szCs w:val="24"/>
        </w:rPr>
        <w:t xml:space="preserve">or external </w:t>
      </w:r>
    </w:p>
    <w:p w:rsidR="00801FFF" w:rsidRDefault="005C271B" w:rsidP="00801FFF">
      <w:pPr>
        <w:tabs>
          <w:tab w:val="left" w:pos="900"/>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A53AB2">
        <w:rPr>
          <w:rFonts w:ascii="Times New Roman" w:hAnsi="Times New Roman" w:cs="Times New Roman"/>
          <w:color w:val="365F91"/>
          <w:sz w:val="24"/>
          <w:szCs w:val="24"/>
        </w:rPr>
        <w:t>Flowgates, identified in R2.1.4</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FC5C33" w:rsidRDefault="00FC5C33" w:rsidP="00A52681">
      <w:pPr>
        <w:widowControl w:val="0"/>
        <w:tabs>
          <w:tab w:val="left" w:pos="60"/>
        </w:tabs>
        <w:spacing w:line="200" w:lineRule="exact"/>
        <w:rPr>
          <w:rFonts w:ascii="Times New Roman" w:hAnsi="Times New Roman" w:cs="Times New Roman"/>
          <w:b/>
          <w:sz w:val="24"/>
          <w:szCs w:val="24"/>
        </w:rPr>
      </w:pPr>
    </w:p>
    <w:p w:rsidR="00FC5C33" w:rsidRDefault="00FC5C33" w:rsidP="00A52681">
      <w:pPr>
        <w:widowControl w:val="0"/>
        <w:tabs>
          <w:tab w:val="left" w:pos="60"/>
        </w:tabs>
        <w:spacing w:line="200" w:lineRule="exact"/>
        <w:rPr>
          <w:rFonts w:ascii="Times New Roman" w:hAnsi="Times New Roman" w:cs="Times New Roman"/>
          <w:b/>
          <w:sz w:val="24"/>
          <w:szCs w:val="24"/>
        </w:rPr>
      </w:pPr>
    </w:p>
    <w:p w:rsidR="008342B8" w:rsidRPr="008342B8"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2"/>
        </w:numPr>
        <w:autoSpaceDE/>
        <w:autoSpaceDN/>
        <w:adjustRightInd/>
        <w:spacing w:after="120"/>
        <w:rPr>
          <w:rFonts w:ascii="Times New Roman" w:hAnsi="Times New Roman" w:cs="Times New Roman"/>
          <w:vanish/>
          <w:sz w:val="24"/>
          <w:szCs w:val="24"/>
        </w:rPr>
      </w:pPr>
    </w:p>
    <w:p w:rsidR="00E0426B" w:rsidRPr="004E71C2" w:rsidRDefault="00E0426B" w:rsidP="00E0426B">
      <w:pPr>
        <w:pStyle w:val="Requirement"/>
        <w:numPr>
          <w:ilvl w:val="0"/>
          <w:numId w:val="22"/>
        </w:numPr>
        <w:tabs>
          <w:tab w:val="clear" w:pos="3240"/>
        </w:tabs>
      </w:pPr>
      <w:r w:rsidRPr="00BF45CF">
        <w:t xml:space="preserve">When calculating </w:t>
      </w:r>
      <w:r>
        <w:t xml:space="preserve">the impact of </w:t>
      </w:r>
      <w:smartTag w:uri="urn:schemas-microsoft-com:office:smarttags" w:element="stockticker">
        <w:r w:rsidRPr="00BF45CF">
          <w:t>ETC</w:t>
        </w:r>
      </w:smartTag>
      <w:r w:rsidRPr="00BF45CF">
        <w:t xml:space="preserve"> for firm commitments (ETC</w:t>
      </w:r>
      <w:r w:rsidRPr="00E0426B">
        <w:rPr>
          <w:vertAlign w:val="subscript"/>
        </w:rPr>
        <w:t>Fi</w:t>
      </w:r>
      <w:r w:rsidRPr="00BF45CF">
        <w:t xml:space="preserve">) for all time </w:t>
      </w:r>
      <w:r>
        <w:t>periods</w:t>
      </w:r>
      <w:r w:rsidRPr="00BF45CF">
        <w:t xml:space="preserve"> for a </w:t>
      </w:r>
      <w:r w:rsidRPr="004E71C2">
        <w:t xml:space="preserve">Flowgate, the Transmission Service Provider shall sum the following:  </w:t>
      </w:r>
      <w:r w:rsidRPr="00E0426B">
        <w:rPr>
          <w:rFonts w:ascii="TimesNewRomanPSMT" w:hAnsi="TimesNewRomanPSMT" w:cs="TimesNewRomanPSMT"/>
        </w:rPr>
        <w:t>[</w:t>
      </w:r>
      <w:r w:rsidRPr="00E0426B">
        <w:rPr>
          <w:i/>
          <w:iCs/>
        </w:rPr>
        <w:t>Violation Risk Factor: To Be Determined</w:t>
      </w:r>
      <w:r w:rsidRPr="00E0426B">
        <w:rPr>
          <w:rFonts w:ascii="TimesNewRomanPSMT" w:hAnsi="TimesNewRomanPSMT" w:cs="TimesNewRomanPSMT"/>
        </w:rPr>
        <w:t>] [</w:t>
      </w:r>
      <w:r w:rsidRPr="00E0426B">
        <w:rPr>
          <w:i/>
          <w:iCs/>
        </w:rPr>
        <w:t>Time Horizon: Operations Planning</w:t>
      </w:r>
      <w:r w:rsidRPr="00E0426B">
        <w:rPr>
          <w:rFonts w:ascii="TimesNewRomanPSMT" w:hAnsi="TimesNewRomanPSMT" w:cs="TimesNewRomanPSMT"/>
        </w:rPr>
        <w:t>]</w:t>
      </w:r>
    </w:p>
    <w:p w:rsidR="00E0426B" w:rsidRPr="00295932" w:rsidRDefault="00E0426B" w:rsidP="00E0426B">
      <w:pPr>
        <w:pStyle w:val="Requirement"/>
        <w:numPr>
          <w:ilvl w:val="1"/>
          <w:numId w:val="5"/>
        </w:numPr>
        <w:tabs>
          <w:tab w:val="clear" w:pos="1726"/>
          <w:tab w:val="clear" w:pos="3240"/>
          <w:tab w:val="num" w:pos="-2160"/>
        </w:tabs>
        <w:ind w:left="1800" w:hanging="720"/>
      </w:pPr>
      <w:r w:rsidRPr="00295932">
        <w:t xml:space="preserve">The impact of </w:t>
      </w:r>
      <w:r>
        <w:t>f</w:t>
      </w:r>
      <w:r w:rsidRPr="00295932">
        <w:t xml:space="preserve">irm Network </w:t>
      </w:r>
      <w:r>
        <w:t>Integration Transmission</w:t>
      </w:r>
      <w:r w:rsidRPr="00295932">
        <w:t xml:space="preserve"> Service, </w:t>
      </w:r>
      <w:r>
        <w:t>including the impacts of generation to load, in the model referenced in R5.2</w:t>
      </w:r>
      <w:r w:rsidRPr="00295932">
        <w:t xml:space="preserve"> for the Transmission Service Provider’s area, based on: </w:t>
      </w:r>
    </w:p>
    <w:p w:rsidR="00E0426B" w:rsidRPr="00AA04EF" w:rsidRDefault="00E0426B" w:rsidP="00E0426B">
      <w:pPr>
        <w:numPr>
          <w:ilvl w:val="2"/>
          <w:numId w:val="5"/>
        </w:numPr>
        <w:tabs>
          <w:tab w:val="clear" w:pos="1726"/>
          <w:tab w:val="num" w:pos="2700"/>
        </w:tabs>
        <w:autoSpaceDE/>
        <w:autoSpaceDN/>
        <w:adjustRightInd/>
        <w:spacing w:after="120"/>
        <w:ind w:left="2700" w:hanging="900"/>
      </w:pPr>
      <w:r w:rsidRPr="00AA04EF">
        <w:t xml:space="preserve">Load forecast for the </w:t>
      </w:r>
      <w:r>
        <w:t>time</w:t>
      </w:r>
      <w:r w:rsidRPr="00AA04EF">
        <w:t xml:space="preserve"> period </w:t>
      </w:r>
      <w:r>
        <w:t xml:space="preserve">being </w:t>
      </w:r>
      <w:r w:rsidRPr="00AA04EF">
        <w:t xml:space="preserve">calculated, including </w:t>
      </w:r>
      <w:r>
        <w:t>N</w:t>
      </w:r>
      <w:r w:rsidRPr="00AA04EF">
        <w:t xml:space="preserve">ative </w:t>
      </w:r>
      <w:r>
        <w:t>L</w:t>
      </w:r>
      <w:r w:rsidRPr="00AA04EF">
        <w:t xml:space="preserve">oad and </w:t>
      </w:r>
      <w:r>
        <w:t>N</w:t>
      </w:r>
      <w:r w:rsidRPr="00AA04EF">
        <w:t xml:space="preserve">etwork </w:t>
      </w:r>
      <w:r>
        <w:t>S</w:t>
      </w:r>
      <w:r w:rsidRPr="00AA04EF">
        <w:t xml:space="preserve">ervice </w:t>
      </w:r>
      <w:r>
        <w:t>l</w:t>
      </w:r>
      <w:r w:rsidRPr="00AA04EF">
        <w:t xml:space="preserve">oad </w:t>
      </w:r>
    </w:p>
    <w:p w:rsidR="00E0426B" w:rsidRPr="00AA04EF" w:rsidRDefault="00E0426B" w:rsidP="00E0426B">
      <w:pPr>
        <w:numPr>
          <w:ilvl w:val="2"/>
          <w:numId w:val="5"/>
        </w:numPr>
        <w:tabs>
          <w:tab w:val="clear" w:pos="1726"/>
          <w:tab w:val="num" w:pos="2700"/>
        </w:tabs>
        <w:autoSpaceDE/>
        <w:autoSpaceDN/>
        <w:adjustRightInd/>
        <w:spacing w:after="120"/>
        <w:ind w:left="2700" w:hanging="900"/>
      </w:pPr>
      <w:r w:rsidRPr="00AA04EF">
        <w:t xml:space="preserve">Unit commitment and </w:t>
      </w:r>
      <w:r>
        <w:t>D</w:t>
      </w:r>
      <w:r w:rsidRPr="00AA04EF">
        <w:t xml:space="preserve">ispatch </w:t>
      </w:r>
      <w:r>
        <w:t>O</w:t>
      </w:r>
      <w:r w:rsidRPr="00AA04EF">
        <w:t>rder, to include all designated network resources and other resources that are committed or have the legal obligation to run</w:t>
      </w:r>
      <w:r>
        <w:t xml:space="preserve"> as</w:t>
      </w:r>
      <w:r w:rsidRPr="00AD4F70">
        <w:t xml:space="preserve"> </w:t>
      </w:r>
      <w:r>
        <w:t>specified</w:t>
      </w:r>
      <w:r w:rsidRPr="00AD4F70">
        <w:t xml:space="preserve"> </w:t>
      </w:r>
      <w:r>
        <w:t>in</w:t>
      </w:r>
      <w:r w:rsidRPr="00AD4F70">
        <w:t xml:space="preserve"> the Transmission Service Provider's ATCID</w:t>
      </w:r>
      <w:r w:rsidRPr="00AA04EF">
        <w:t>.</w:t>
      </w:r>
    </w:p>
    <w:p w:rsidR="00E0426B" w:rsidRDefault="00E0426B" w:rsidP="00E0426B">
      <w:pPr>
        <w:pStyle w:val="Requirement"/>
        <w:numPr>
          <w:ilvl w:val="1"/>
          <w:numId w:val="5"/>
        </w:numPr>
        <w:tabs>
          <w:tab w:val="clear" w:pos="1726"/>
          <w:tab w:val="clear" w:pos="3240"/>
          <w:tab w:val="num" w:pos="-2340"/>
          <w:tab w:val="left" w:pos="-2160"/>
        </w:tabs>
        <w:ind w:left="1800" w:hanging="720"/>
      </w:pPr>
      <w:r w:rsidRPr="002808FF">
        <w:t xml:space="preserve">The impact of any </w:t>
      </w:r>
      <w:r>
        <w:t>f</w:t>
      </w:r>
      <w:r w:rsidRPr="00295932">
        <w:t xml:space="preserve">irm Network </w:t>
      </w:r>
      <w:r>
        <w:t>Integration Transmission</w:t>
      </w:r>
      <w:r w:rsidRPr="00295932">
        <w:t xml:space="preserve"> Service</w:t>
      </w:r>
      <w:r>
        <w:t>,</w:t>
      </w:r>
      <w:r>
        <w:rPr>
          <w:b/>
        </w:rPr>
        <w:t xml:space="preserve"> </w:t>
      </w:r>
      <w:r>
        <w:t>including the impacts of generation to load in the model referenced in R5.2 and has a distribution factor</w:t>
      </w:r>
      <w:r w:rsidRPr="002808FF">
        <w:t xml:space="preserve"> </w:t>
      </w:r>
      <w:r>
        <w:t xml:space="preserve">equal to or greater than the </w:t>
      </w:r>
      <w:r w:rsidRPr="00C34547">
        <w:t>percentage</w:t>
      </w:r>
      <w:r w:rsidRPr="00C34547">
        <w:rPr>
          <w:rStyle w:val="FootnoteReference"/>
        </w:rPr>
        <w:footnoteReference w:id="1"/>
      </w:r>
      <w:r>
        <w:t xml:space="preserve"> used to curtail in the Interconnection-wide congestion management procedure used by the Transmission Service Provider, </w:t>
      </w:r>
      <w:r w:rsidRPr="002808FF">
        <w:t>for all adjacent Transmission Service Providers and any other Transmission Service Providers with which coordination agreements have been executed</w:t>
      </w:r>
      <w:r>
        <w:t xml:space="preserve"> based on:</w:t>
      </w:r>
    </w:p>
    <w:p w:rsidR="00E0426B" w:rsidRPr="00AA04EF" w:rsidRDefault="00E0426B" w:rsidP="00E0426B">
      <w:pPr>
        <w:numPr>
          <w:ilvl w:val="2"/>
          <w:numId w:val="5"/>
        </w:numPr>
        <w:tabs>
          <w:tab w:val="clear" w:pos="1726"/>
          <w:tab w:val="num" w:pos="2700"/>
        </w:tabs>
        <w:autoSpaceDE/>
        <w:autoSpaceDN/>
        <w:adjustRightInd/>
        <w:spacing w:after="120"/>
        <w:ind w:left="2700" w:hanging="900"/>
      </w:pPr>
      <w:r w:rsidRPr="00AA04EF">
        <w:t xml:space="preserve">Load forecast for the </w:t>
      </w:r>
      <w:r>
        <w:t>time</w:t>
      </w:r>
      <w:r w:rsidRPr="00AA04EF">
        <w:t xml:space="preserve"> period </w:t>
      </w:r>
      <w:r>
        <w:t xml:space="preserve">being </w:t>
      </w:r>
      <w:r w:rsidRPr="00AA04EF">
        <w:t xml:space="preserve">calculated, including </w:t>
      </w:r>
      <w:r>
        <w:t>N</w:t>
      </w:r>
      <w:r w:rsidRPr="00AA04EF">
        <w:t xml:space="preserve">ative </w:t>
      </w:r>
      <w:r>
        <w:t>Load and N</w:t>
      </w:r>
      <w:r w:rsidRPr="00AA04EF">
        <w:t xml:space="preserve">etwork </w:t>
      </w:r>
      <w:r>
        <w:t>Ser</w:t>
      </w:r>
      <w:r w:rsidRPr="00AA04EF">
        <w:t xml:space="preserve">vice </w:t>
      </w:r>
      <w:r>
        <w:t>l</w:t>
      </w:r>
      <w:r w:rsidRPr="00AA04EF">
        <w:t xml:space="preserve">oad </w:t>
      </w:r>
    </w:p>
    <w:p w:rsidR="00E0426B" w:rsidRDefault="00E0426B" w:rsidP="00E0426B">
      <w:pPr>
        <w:numPr>
          <w:ilvl w:val="2"/>
          <w:numId w:val="5"/>
        </w:numPr>
        <w:tabs>
          <w:tab w:val="clear" w:pos="1726"/>
          <w:tab w:val="num" w:pos="2700"/>
        </w:tabs>
        <w:autoSpaceDE/>
        <w:autoSpaceDN/>
        <w:adjustRightInd/>
        <w:spacing w:after="120"/>
        <w:ind w:left="2700" w:hanging="900"/>
      </w:pPr>
      <w:r w:rsidRPr="00AA04EF">
        <w:t xml:space="preserve">Unit commitment and </w:t>
      </w:r>
      <w:r>
        <w:t>D</w:t>
      </w:r>
      <w:r w:rsidRPr="00AA04EF">
        <w:t xml:space="preserve">ispatch </w:t>
      </w:r>
      <w:r>
        <w:t>O</w:t>
      </w:r>
      <w:r w:rsidRPr="00AA04EF">
        <w:t>rder, to include all designated network resources and other resources that are committed or have the legal obligation to run</w:t>
      </w:r>
      <w:r w:rsidRPr="00AD4F70">
        <w:t xml:space="preserve"> </w:t>
      </w:r>
      <w:r>
        <w:t>as specified</w:t>
      </w:r>
      <w:r w:rsidRPr="00AD4F70">
        <w:t xml:space="preserve"> </w:t>
      </w:r>
      <w:r>
        <w:t>in</w:t>
      </w:r>
      <w:r w:rsidRPr="00AD4F70">
        <w:t xml:space="preserve"> the Transmission Service Provider's ATCID</w:t>
      </w:r>
      <w:r w:rsidRPr="00AA04EF">
        <w:t>.</w:t>
      </w:r>
    </w:p>
    <w:p w:rsidR="00E0426B" w:rsidRPr="002808FF" w:rsidRDefault="00E0426B" w:rsidP="00E0426B">
      <w:pPr>
        <w:pStyle w:val="Requirement"/>
        <w:numPr>
          <w:ilvl w:val="1"/>
          <w:numId w:val="5"/>
        </w:numPr>
        <w:tabs>
          <w:tab w:val="clear" w:pos="1726"/>
          <w:tab w:val="clear" w:pos="3240"/>
          <w:tab w:val="num" w:pos="-2340"/>
          <w:tab w:val="left" w:pos="-2160"/>
        </w:tabs>
        <w:ind w:left="1800" w:hanging="720"/>
      </w:pPr>
      <w:r w:rsidRPr="00473018">
        <w:t xml:space="preserve">The impact of all </w:t>
      </w:r>
      <w:r>
        <w:t>c</w:t>
      </w:r>
      <w:r w:rsidRPr="00473018">
        <w:t xml:space="preserve">onfirmed </w:t>
      </w:r>
      <w:r>
        <w:t>f</w:t>
      </w:r>
      <w:r w:rsidRPr="00473018">
        <w:t xml:space="preserve">irm </w:t>
      </w:r>
      <w:r w:rsidRPr="002808FF">
        <w:t>Point-to-Point Transmission Service expected to be scheduled, including roll-over rights for Firm Transmission Service contracts, for the Transmission Service Provider’s area.</w:t>
      </w:r>
    </w:p>
    <w:p w:rsidR="00E0426B" w:rsidRPr="00473018" w:rsidRDefault="00E0426B" w:rsidP="00E0426B">
      <w:pPr>
        <w:pStyle w:val="Requirement"/>
        <w:numPr>
          <w:ilvl w:val="1"/>
          <w:numId w:val="5"/>
        </w:numPr>
        <w:tabs>
          <w:tab w:val="clear" w:pos="1726"/>
          <w:tab w:val="clear" w:pos="3240"/>
          <w:tab w:val="num" w:pos="-2340"/>
          <w:tab w:val="left" w:pos="-2160"/>
        </w:tabs>
        <w:ind w:left="1800" w:hanging="720"/>
      </w:pPr>
      <w:r w:rsidRPr="002808FF">
        <w:t>The impact of any confirmed firm Point-to-Point Transmission Service expected to be scheduled, filtered to reduce or eliminate duplicate impacts from transactions using Transmission service from multiple Transmission Service Providers, including roll-over rights for Firm Transmission Service contracts</w:t>
      </w:r>
      <w:r>
        <w:t xml:space="preserve"> having a distribution factor</w:t>
      </w:r>
      <w:r w:rsidRPr="002808FF">
        <w:t xml:space="preserve"> </w:t>
      </w:r>
      <w:r>
        <w:t xml:space="preserve">equal to or greater than the </w:t>
      </w:r>
      <w:r w:rsidRPr="00C34547">
        <w:t>percentage</w:t>
      </w:r>
      <w:r w:rsidRPr="00C34547">
        <w:rPr>
          <w:rStyle w:val="FootnoteReference"/>
        </w:rPr>
        <w:footnoteReference w:id="2"/>
      </w:r>
      <w:r w:rsidRPr="00C34547">
        <w:t xml:space="preserve"> us</w:t>
      </w:r>
      <w:r>
        <w:t xml:space="preserve">ed to curtail in the Interconnection-wide congestion management procedure used by the Transmission Service Provider, </w:t>
      </w:r>
      <w:r w:rsidRPr="002808FF">
        <w:t xml:space="preserve">for all adjacent Transmission Service Providers and any other Transmission Service Providers with which coordination agreements have been executed. </w:t>
      </w:r>
    </w:p>
    <w:p w:rsidR="00E0426B" w:rsidRPr="00473018" w:rsidRDefault="00E0426B" w:rsidP="00E0426B">
      <w:pPr>
        <w:pStyle w:val="Requirement"/>
        <w:numPr>
          <w:ilvl w:val="1"/>
          <w:numId w:val="5"/>
        </w:numPr>
        <w:tabs>
          <w:tab w:val="clear" w:pos="1726"/>
          <w:tab w:val="clear" w:pos="3240"/>
          <w:tab w:val="num" w:pos="-2340"/>
          <w:tab w:val="left" w:pos="-2160"/>
        </w:tabs>
        <w:ind w:left="1800" w:hanging="720"/>
      </w:pPr>
      <w:r w:rsidRPr="00473018">
        <w:t xml:space="preserve">The impact of any Grandfathered </w:t>
      </w:r>
      <w:r>
        <w:t>f</w:t>
      </w:r>
      <w:r w:rsidRPr="00473018">
        <w:t xml:space="preserve">irm </w:t>
      </w:r>
      <w:r>
        <w:t xml:space="preserve">obligations expected to be scheduled or expected to flow </w:t>
      </w:r>
      <w:r w:rsidRPr="00473018">
        <w:t xml:space="preserve">for </w:t>
      </w:r>
      <w:r>
        <w:t>the</w:t>
      </w:r>
      <w:r w:rsidRPr="00473018">
        <w:t xml:space="preserve"> Transmission Service Provider</w:t>
      </w:r>
      <w:r>
        <w:t>’</w:t>
      </w:r>
      <w:r w:rsidRPr="00473018">
        <w:t xml:space="preserve">s </w:t>
      </w:r>
      <w:r w:rsidRPr="002808FF">
        <w:t>area</w:t>
      </w:r>
      <w:r w:rsidRPr="00473018">
        <w:t xml:space="preserve">. </w:t>
      </w:r>
    </w:p>
    <w:p w:rsidR="00E0426B" w:rsidRDefault="00E0426B" w:rsidP="00E0426B">
      <w:pPr>
        <w:pStyle w:val="Requirement"/>
        <w:numPr>
          <w:ilvl w:val="1"/>
          <w:numId w:val="5"/>
        </w:numPr>
        <w:tabs>
          <w:tab w:val="clear" w:pos="1726"/>
          <w:tab w:val="clear" w:pos="3240"/>
          <w:tab w:val="num" w:pos="-2340"/>
          <w:tab w:val="left" w:pos="-2160"/>
        </w:tabs>
        <w:ind w:left="1800" w:hanging="720"/>
      </w:pPr>
      <w:r w:rsidRPr="00473018">
        <w:t xml:space="preserve">The impact of any Grandfathered </w:t>
      </w:r>
      <w:r>
        <w:t>f</w:t>
      </w:r>
      <w:r w:rsidRPr="00473018">
        <w:t xml:space="preserve">irm </w:t>
      </w:r>
      <w:r>
        <w:t>obligations expected to be scheduled or expected to flow that have a distribution factor</w:t>
      </w:r>
      <w:r w:rsidRPr="002808FF">
        <w:t xml:space="preserve"> </w:t>
      </w:r>
      <w:r>
        <w:t xml:space="preserve">equal to or greater than the </w:t>
      </w:r>
      <w:r w:rsidRPr="00C34547">
        <w:t>percentage</w:t>
      </w:r>
      <w:r w:rsidRPr="00C34547">
        <w:rPr>
          <w:rStyle w:val="FootnoteReference"/>
        </w:rPr>
        <w:footnoteReference w:id="3"/>
      </w:r>
      <w:r w:rsidRPr="00C34547">
        <w:t xml:space="preserve"> us</w:t>
      </w:r>
      <w:r>
        <w:t xml:space="preserve">ed to curtail in the Interconnection-wide congestion management procedure used by the Transmission Service Provider, </w:t>
      </w:r>
      <w:r w:rsidRPr="00473018">
        <w:t xml:space="preserve">for all adjacent Transmission Service Providers and any other Transmission Service Providers with which coordination agreements have been executed.  </w:t>
      </w:r>
    </w:p>
    <w:p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t>The impact of other firm services determined by the Transmission Service Provider.</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R6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 xml:space="preserve">2 </w:t>
      </w:r>
      <w:r>
        <w:rPr>
          <w:rFonts w:ascii="Times New Roman" w:hAnsi="Times New Roman" w:cs="Times New Roman"/>
          <w:b/>
          <w:bCs/>
          <w:color w:val="003366"/>
          <w:sz w:val="24"/>
          <w:szCs w:val="24"/>
        </w:rPr>
        <w:t>R</w:t>
      </w:r>
      <w:r w:rsidR="008342B8">
        <w:rPr>
          <w:rFonts w:ascii="Times New Roman" w:hAnsi="Times New Roman" w:cs="Times New Roman"/>
          <w:b/>
          <w:bCs/>
          <w:color w:val="003366"/>
          <w:sz w:val="24"/>
          <w:szCs w:val="24"/>
        </w:rPr>
        <w:t>6</w:t>
      </w:r>
    </w:p>
    <w:p w:rsidR="00A52681" w:rsidRPr="005E50A4" w:rsidRDefault="00A52681" w:rsidP="00A52681">
      <w:pPr>
        <w:rPr>
          <w:rFonts w:ascii="Times New Roman" w:hAnsi="Times New Roman" w:cs="Times New Roman"/>
          <w:color w:val="365F91"/>
          <w:sz w:val="24"/>
          <w:szCs w:val="24"/>
        </w:rPr>
      </w:pPr>
    </w:p>
    <w:p w:rsidR="00801FFF" w:rsidRPr="005E50A4"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when calculating the impact of ETC for firm commitments for all time periods for a Flowgate, the TSP summed the following:</w:t>
      </w:r>
    </w:p>
    <w:p w:rsidR="00801FFF" w:rsidRPr="005E50A4" w:rsidRDefault="00801FFF" w:rsidP="00801FFF">
      <w:pPr>
        <w:ind w:left="360"/>
        <w:rPr>
          <w:rFonts w:ascii="Times New Roman" w:hAnsi="Times New Roman" w:cs="Times New Roman"/>
          <w:color w:val="365F91"/>
          <w:sz w:val="24"/>
          <w:szCs w:val="24"/>
        </w:rPr>
      </w:pPr>
    </w:p>
    <w:p w:rsidR="00801FFF" w:rsidRDefault="00801FFF" w:rsidP="00801FFF">
      <w:pPr>
        <w:tabs>
          <w:tab w:val="left" w:pos="900"/>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The impact of Firm Network Integration Transmission Service, including:</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07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Impact of generation to load based on:</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52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Load Forecast for the time period being calculated, including </w:t>
      </w:r>
      <w:r w:rsidR="005C271B">
        <w:rPr>
          <w:rFonts w:ascii="Times New Roman" w:hAnsi="Times New Roman" w:cs="Times New Roman"/>
          <w:color w:val="365F91"/>
          <w:sz w:val="24"/>
          <w:szCs w:val="24"/>
        </w:rPr>
        <w:t>N</w:t>
      </w:r>
      <w:r>
        <w:rPr>
          <w:rFonts w:ascii="Times New Roman" w:hAnsi="Times New Roman" w:cs="Times New Roman"/>
          <w:color w:val="365F91"/>
          <w:sz w:val="24"/>
          <w:szCs w:val="24"/>
        </w:rPr>
        <w:t xml:space="preserve">ative </w:t>
      </w:r>
      <w:r w:rsidR="005C271B">
        <w:rPr>
          <w:rFonts w:ascii="Times New Roman" w:hAnsi="Times New Roman" w:cs="Times New Roman"/>
          <w:color w:val="365F91"/>
          <w:sz w:val="24"/>
          <w:szCs w:val="24"/>
        </w:rPr>
        <w:t>L</w:t>
      </w:r>
      <w:r>
        <w:rPr>
          <w:rFonts w:ascii="Times New Roman" w:hAnsi="Times New Roman" w:cs="Times New Roman"/>
          <w:color w:val="365F91"/>
          <w:sz w:val="24"/>
          <w:szCs w:val="24"/>
        </w:rPr>
        <w:t xml:space="preserve">oad and </w:t>
      </w:r>
    </w:p>
    <w:p w:rsidR="00801FFF" w:rsidRDefault="00801FFF" w:rsidP="00801FFF">
      <w:pPr>
        <w:tabs>
          <w:tab w:val="left" w:pos="900"/>
          <w:tab w:val="left" w:pos="252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sidR="005C271B">
        <w:rPr>
          <w:rFonts w:ascii="Times New Roman" w:hAnsi="Times New Roman" w:cs="Times New Roman"/>
          <w:color w:val="365F91"/>
          <w:sz w:val="24"/>
          <w:szCs w:val="24"/>
        </w:rPr>
        <w:t>N</w:t>
      </w:r>
      <w:r>
        <w:rPr>
          <w:rFonts w:ascii="Times New Roman" w:hAnsi="Times New Roman" w:cs="Times New Roman"/>
          <w:color w:val="365F91"/>
          <w:sz w:val="24"/>
          <w:szCs w:val="24"/>
        </w:rPr>
        <w:t xml:space="preserve">etwork </w:t>
      </w:r>
      <w:r w:rsidR="005C271B">
        <w:rPr>
          <w:rFonts w:ascii="Times New Roman" w:hAnsi="Times New Roman" w:cs="Times New Roman"/>
          <w:color w:val="365F91"/>
          <w:sz w:val="24"/>
          <w:szCs w:val="24"/>
        </w:rPr>
        <w:t>S</w:t>
      </w:r>
      <w:r>
        <w:rPr>
          <w:rFonts w:ascii="Times New Roman" w:hAnsi="Times New Roman" w:cs="Times New Roman"/>
          <w:color w:val="365F91"/>
          <w:sz w:val="24"/>
          <w:szCs w:val="24"/>
        </w:rPr>
        <w:t>ervice load.</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52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Unit commitment and dispatch order, includes all designated network resources </w:t>
      </w:r>
    </w:p>
    <w:p w:rsidR="00801FFF" w:rsidRDefault="00801FFF" w:rsidP="00801FFF">
      <w:pPr>
        <w:tabs>
          <w:tab w:val="left" w:pos="900"/>
          <w:tab w:val="left" w:pos="2520"/>
        </w:tabs>
        <w:ind w:left="361"/>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and other resources that are committed or have legal obligations to run as specified in </w:t>
      </w:r>
    </w:p>
    <w:p w:rsidR="00801FFF" w:rsidRDefault="00801FFF" w:rsidP="00801FFF">
      <w:pPr>
        <w:tabs>
          <w:tab w:val="left" w:pos="900"/>
          <w:tab w:val="left" w:pos="2520"/>
        </w:tabs>
        <w:ind w:left="361"/>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the TSP’s ATCID</w:t>
      </w:r>
    </w:p>
    <w:p w:rsidR="00801FFF" w:rsidRDefault="00801FFF" w:rsidP="00801FFF">
      <w:pPr>
        <w:tabs>
          <w:tab w:val="left" w:pos="900"/>
          <w:tab w:val="left" w:pos="2520"/>
        </w:tabs>
        <w:ind w:left="361"/>
        <w:rPr>
          <w:rFonts w:ascii="Times New Roman" w:hAnsi="Times New Roman" w:cs="Times New Roman"/>
          <w:color w:val="365F91"/>
          <w:sz w:val="24"/>
          <w:szCs w:val="24"/>
        </w:rPr>
      </w:pPr>
    </w:p>
    <w:p w:rsidR="00801FFF" w:rsidRDefault="00801FFF" w:rsidP="00801FFF">
      <w:pPr>
        <w:tabs>
          <w:tab w:val="left" w:pos="900"/>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005C271B">
        <w:rPr>
          <w:rFonts w:ascii="Times New Roman" w:hAnsi="Times New Roman" w:cs="Times New Roman"/>
          <w:color w:val="365F91"/>
          <w:sz w:val="24"/>
          <w:szCs w:val="24"/>
        </w:rPr>
        <w:t>f</w:t>
      </w:r>
      <w:r>
        <w:rPr>
          <w:rFonts w:ascii="Times New Roman" w:hAnsi="Times New Roman" w:cs="Times New Roman"/>
          <w:color w:val="365F91"/>
          <w:sz w:val="24"/>
          <w:szCs w:val="24"/>
        </w:rPr>
        <w:t>irm Network Integration Transmission Service, including:</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07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Impact of generation to load and has a distribution factor equal to or greater than the </w:t>
      </w:r>
    </w:p>
    <w:p w:rsidR="00801FFF" w:rsidRDefault="00801FFF" w:rsidP="00801FFF">
      <w:pPr>
        <w:tabs>
          <w:tab w:val="left" w:pos="900"/>
          <w:tab w:val="left" w:pos="207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percentage used to curtail in the Interconnection wide congestion management procedure </w:t>
      </w:r>
    </w:p>
    <w:p w:rsidR="00801FFF" w:rsidRDefault="00801FFF" w:rsidP="00801FFF">
      <w:pPr>
        <w:tabs>
          <w:tab w:val="left" w:pos="900"/>
          <w:tab w:val="left" w:pos="207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used by the TSP for all adjacent TSPs and any other TSPs which coordination agreements </w:t>
      </w:r>
    </w:p>
    <w:p w:rsidR="00801FFF" w:rsidRDefault="00801FFF" w:rsidP="00801FFF">
      <w:pPr>
        <w:tabs>
          <w:tab w:val="left" w:pos="900"/>
          <w:tab w:val="left" w:pos="207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have been executed based on:</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52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Load </w:t>
      </w:r>
      <w:r w:rsidR="005C271B">
        <w:rPr>
          <w:rFonts w:ascii="Times New Roman" w:hAnsi="Times New Roman" w:cs="Times New Roman"/>
          <w:color w:val="365F91"/>
          <w:sz w:val="24"/>
          <w:szCs w:val="24"/>
        </w:rPr>
        <w:t>f</w:t>
      </w:r>
      <w:r>
        <w:rPr>
          <w:rFonts w:ascii="Times New Roman" w:hAnsi="Times New Roman" w:cs="Times New Roman"/>
          <w:color w:val="365F91"/>
          <w:sz w:val="24"/>
          <w:szCs w:val="24"/>
        </w:rPr>
        <w:t xml:space="preserve">orecast for the time period being calculated, including </w:t>
      </w:r>
      <w:r w:rsidR="005C271B">
        <w:rPr>
          <w:rFonts w:ascii="Times New Roman" w:hAnsi="Times New Roman" w:cs="Times New Roman"/>
          <w:color w:val="365F91"/>
          <w:sz w:val="24"/>
          <w:szCs w:val="24"/>
        </w:rPr>
        <w:t>N</w:t>
      </w:r>
      <w:r>
        <w:rPr>
          <w:rFonts w:ascii="Times New Roman" w:hAnsi="Times New Roman" w:cs="Times New Roman"/>
          <w:color w:val="365F91"/>
          <w:sz w:val="24"/>
          <w:szCs w:val="24"/>
        </w:rPr>
        <w:t xml:space="preserve">ative </w:t>
      </w:r>
      <w:r w:rsidR="005C271B">
        <w:rPr>
          <w:rFonts w:ascii="Times New Roman" w:hAnsi="Times New Roman" w:cs="Times New Roman"/>
          <w:color w:val="365F91"/>
          <w:sz w:val="24"/>
          <w:szCs w:val="24"/>
        </w:rPr>
        <w:t>L</w:t>
      </w:r>
      <w:r>
        <w:rPr>
          <w:rFonts w:ascii="Times New Roman" w:hAnsi="Times New Roman" w:cs="Times New Roman"/>
          <w:color w:val="365F91"/>
          <w:sz w:val="24"/>
          <w:szCs w:val="24"/>
        </w:rPr>
        <w:t xml:space="preserve">oad and </w:t>
      </w:r>
    </w:p>
    <w:p w:rsidR="00801FFF" w:rsidRDefault="00801FFF" w:rsidP="00801FFF">
      <w:pPr>
        <w:tabs>
          <w:tab w:val="left" w:pos="900"/>
          <w:tab w:val="left" w:pos="252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sidR="005C271B">
        <w:rPr>
          <w:rFonts w:ascii="Times New Roman" w:hAnsi="Times New Roman" w:cs="Times New Roman"/>
          <w:color w:val="365F91"/>
          <w:sz w:val="24"/>
          <w:szCs w:val="24"/>
        </w:rPr>
        <w:t>N</w:t>
      </w:r>
      <w:r>
        <w:rPr>
          <w:rFonts w:ascii="Times New Roman" w:hAnsi="Times New Roman" w:cs="Times New Roman"/>
          <w:color w:val="365F91"/>
          <w:sz w:val="24"/>
          <w:szCs w:val="24"/>
        </w:rPr>
        <w:t xml:space="preserve">etwork </w:t>
      </w:r>
      <w:r w:rsidR="005C271B">
        <w:rPr>
          <w:rFonts w:ascii="Times New Roman" w:hAnsi="Times New Roman" w:cs="Times New Roman"/>
          <w:color w:val="365F91"/>
          <w:sz w:val="24"/>
          <w:szCs w:val="24"/>
        </w:rPr>
        <w:t>S</w:t>
      </w:r>
      <w:r>
        <w:rPr>
          <w:rFonts w:ascii="Times New Roman" w:hAnsi="Times New Roman" w:cs="Times New Roman"/>
          <w:color w:val="365F91"/>
          <w:sz w:val="24"/>
          <w:szCs w:val="24"/>
        </w:rPr>
        <w:t>ervice load.</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2520"/>
        </w:tabs>
        <w:ind w:left="36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Unit commitment and </w:t>
      </w:r>
      <w:r w:rsidR="005C271B">
        <w:rPr>
          <w:rFonts w:ascii="Times New Roman" w:hAnsi="Times New Roman" w:cs="Times New Roman"/>
          <w:color w:val="365F91"/>
          <w:sz w:val="24"/>
          <w:szCs w:val="24"/>
        </w:rPr>
        <w:t>D</w:t>
      </w:r>
      <w:r>
        <w:rPr>
          <w:rFonts w:ascii="Times New Roman" w:hAnsi="Times New Roman" w:cs="Times New Roman"/>
          <w:color w:val="365F91"/>
          <w:sz w:val="24"/>
          <w:szCs w:val="24"/>
        </w:rPr>
        <w:t xml:space="preserve">ispatch </w:t>
      </w:r>
      <w:r w:rsidR="005C271B">
        <w:rPr>
          <w:rFonts w:ascii="Times New Roman" w:hAnsi="Times New Roman" w:cs="Times New Roman"/>
          <w:color w:val="365F91"/>
          <w:sz w:val="24"/>
          <w:szCs w:val="24"/>
        </w:rPr>
        <w:t>O</w:t>
      </w:r>
      <w:r>
        <w:rPr>
          <w:rFonts w:ascii="Times New Roman" w:hAnsi="Times New Roman" w:cs="Times New Roman"/>
          <w:color w:val="365F91"/>
          <w:sz w:val="24"/>
          <w:szCs w:val="24"/>
        </w:rPr>
        <w:t xml:space="preserve">rder, includes all designated network resources </w:t>
      </w:r>
    </w:p>
    <w:p w:rsidR="00801FFF" w:rsidRDefault="00801FFF" w:rsidP="00801FFF">
      <w:pPr>
        <w:tabs>
          <w:tab w:val="left" w:pos="900"/>
          <w:tab w:val="left" w:pos="2520"/>
        </w:tabs>
        <w:ind w:left="361"/>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and other resources that are committed or have legal obligations to run as specified in </w:t>
      </w:r>
    </w:p>
    <w:p w:rsidR="00801FFF" w:rsidRDefault="00801FFF" w:rsidP="00801FFF">
      <w:pPr>
        <w:tabs>
          <w:tab w:val="left" w:pos="900"/>
          <w:tab w:val="left" w:pos="2520"/>
        </w:tabs>
        <w:ind w:left="361"/>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the TSP’s ATCID</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Pr="00725941">
        <w:rPr>
          <w:rFonts w:ascii="Times New Roman" w:hAnsi="Times New Roman" w:cs="Times New Roman"/>
          <w:color w:val="365F91"/>
          <w:sz w:val="24"/>
          <w:szCs w:val="24"/>
        </w:rPr>
        <w:t xml:space="preserve">impact of all confirmed firm Point-to-Point Transmission Service expected to be </w:t>
      </w:r>
    </w:p>
    <w:p w:rsidR="00801FFF" w:rsidRDefault="00801FFF" w:rsidP="005C271B">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725941">
        <w:rPr>
          <w:rFonts w:ascii="Times New Roman" w:hAnsi="Times New Roman" w:cs="Times New Roman"/>
          <w:color w:val="365F91"/>
          <w:sz w:val="24"/>
          <w:szCs w:val="24"/>
        </w:rPr>
        <w:t xml:space="preserve">scheduled, including roll-over rights for Firm Transmission Service contracts, for the </w:t>
      </w:r>
      <w:r w:rsidR="005C271B">
        <w:rPr>
          <w:rFonts w:ascii="Times New Roman" w:hAnsi="Times New Roman" w:cs="Times New Roman"/>
          <w:color w:val="365F91"/>
          <w:sz w:val="24"/>
          <w:szCs w:val="24"/>
        </w:rPr>
        <w:t>TSP’s area</w:t>
      </w:r>
    </w:p>
    <w:p w:rsidR="00801FFF" w:rsidRDefault="00801FFF" w:rsidP="00801FFF">
      <w:pPr>
        <w:ind w:left="361" w:firstLine="1"/>
        <w:rPr>
          <w:rFonts w:ascii="Times New Roman" w:hAnsi="Times New Roman" w:cs="Times New Roman"/>
          <w:color w:val="365F91"/>
          <w:sz w:val="24"/>
          <w:szCs w:val="24"/>
        </w:rPr>
      </w:pPr>
    </w:p>
    <w:p w:rsidR="00801FFF" w:rsidRDefault="00801FFF" w:rsidP="00801FFF">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Pr="00725941">
        <w:rPr>
          <w:rFonts w:ascii="Times New Roman" w:hAnsi="Times New Roman" w:cs="Times New Roman"/>
          <w:color w:val="365F91"/>
          <w:sz w:val="24"/>
          <w:szCs w:val="24"/>
        </w:rPr>
        <w:t>impact of</w:t>
      </w:r>
      <w:r>
        <w:rPr>
          <w:rFonts w:ascii="Times New Roman" w:hAnsi="Times New Roman" w:cs="Times New Roman"/>
          <w:color w:val="365F91"/>
          <w:sz w:val="24"/>
          <w:szCs w:val="24"/>
        </w:rPr>
        <w:t xml:space="preserve"> any confirmed Point-to-Point Transmission Service expected to be scheduled:</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ind w:left="362" w:firstLine="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F</w:t>
      </w:r>
      <w:r w:rsidRPr="00725941">
        <w:rPr>
          <w:rFonts w:ascii="Times New Roman" w:hAnsi="Times New Roman" w:cs="Times New Roman"/>
          <w:color w:val="365F91"/>
          <w:sz w:val="24"/>
          <w:szCs w:val="24"/>
        </w:rPr>
        <w:t xml:space="preserve">iltered to reduce or eliminate duplicate impacts from transactions using Transmission </w:t>
      </w:r>
      <w:r>
        <w:rPr>
          <w:rFonts w:ascii="Times New Roman" w:hAnsi="Times New Roman" w:cs="Times New Roman"/>
          <w:color w:val="365F91"/>
          <w:sz w:val="24"/>
          <w:szCs w:val="24"/>
        </w:rPr>
        <w:t xml:space="preserve"> </w:t>
      </w:r>
    </w:p>
    <w:p w:rsidR="00801FFF" w:rsidRDefault="00801FFF" w:rsidP="00801FFF">
      <w:pPr>
        <w:ind w:left="362"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725941">
        <w:rPr>
          <w:rFonts w:ascii="Times New Roman" w:hAnsi="Times New Roman" w:cs="Times New Roman"/>
          <w:color w:val="365F91"/>
          <w:sz w:val="24"/>
          <w:szCs w:val="24"/>
        </w:rPr>
        <w:t xml:space="preserve">service from multiple </w:t>
      </w:r>
      <w:r w:rsidR="005C271B">
        <w:rPr>
          <w:rFonts w:ascii="Times New Roman" w:hAnsi="Times New Roman" w:cs="Times New Roman"/>
          <w:color w:val="365F91"/>
          <w:sz w:val="24"/>
          <w:szCs w:val="24"/>
        </w:rPr>
        <w:t>TSPs</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801FFF" w:rsidRDefault="00801FFF" w:rsidP="00801FFF">
      <w:pPr>
        <w:tabs>
          <w:tab w:val="left" w:pos="900"/>
          <w:tab w:val="left" w:pos="1530"/>
        </w:tabs>
        <w:ind w:left="361" w:firstLine="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C06B99">
        <w:rPr>
          <w:rFonts w:ascii="Times New Roman" w:hAnsi="Times New Roman" w:cs="Times New Roman"/>
          <w:color w:val="365F91"/>
          <w:sz w:val="24"/>
          <w:szCs w:val="24"/>
        </w:rPr>
        <w:t xml:space="preserve"> </w:t>
      </w:r>
      <w:r w:rsidRPr="00C06B99">
        <w:rPr>
          <w:rFonts w:ascii="Times New Roman" w:hAnsi="Times New Roman" w:cs="Times New Roman"/>
          <w:bCs/>
          <w:color w:val="365F91"/>
          <w:sz w:val="24"/>
          <w:szCs w:val="24"/>
        </w:rPr>
        <w:t>___</w:t>
      </w:r>
      <w:r w:rsidRPr="00C06B99">
        <w:rPr>
          <w:rFonts w:ascii="Times New Roman" w:hAnsi="Times New Roman" w:cs="Times New Roman"/>
          <w:color w:val="365F91"/>
          <w:sz w:val="24"/>
          <w:szCs w:val="24"/>
        </w:rPr>
        <w:t xml:space="preserve"> Including roll-over rights for Firm Transmission Service contracts having a distribution </w:t>
      </w:r>
    </w:p>
    <w:p w:rsidR="00801FFF" w:rsidRDefault="00801FFF" w:rsidP="00801FFF">
      <w:pPr>
        <w:tabs>
          <w:tab w:val="left" w:pos="900"/>
          <w:tab w:val="left" w:pos="1530"/>
        </w:tabs>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factor equal to or greater than the percentage</w:t>
      </w:r>
      <w:r w:rsidRPr="00C06B99">
        <w:rPr>
          <w:rFonts w:ascii="Times New Roman" w:hAnsi="Times New Roman" w:cs="Times New Roman"/>
          <w:color w:val="365F91"/>
          <w:sz w:val="24"/>
          <w:szCs w:val="24"/>
          <w:vertAlign w:val="superscript"/>
        </w:rPr>
        <w:footnoteReference w:id="4"/>
      </w:r>
      <w:r w:rsidRPr="00C06B99">
        <w:rPr>
          <w:rFonts w:ascii="Times New Roman" w:hAnsi="Times New Roman" w:cs="Times New Roman"/>
          <w:color w:val="365F91"/>
          <w:sz w:val="24"/>
          <w:szCs w:val="24"/>
        </w:rPr>
        <w:t xml:space="preserve"> used to curtail in the Interconnection-wide </w:t>
      </w:r>
    </w:p>
    <w:p w:rsidR="00801FFF" w:rsidRDefault="00801FFF" w:rsidP="00801FFF">
      <w:pPr>
        <w:tabs>
          <w:tab w:val="left" w:pos="900"/>
          <w:tab w:val="left" w:pos="1530"/>
        </w:tabs>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congestion management procedure used by the</w:t>
      </w:r>
      <w:r>
        <w:rPr>
          <w:rFonts w:ascii="Times New Roman" w:hAnsi="Times New Roman" w:cs="Times New Roman"/>
          <w:color w:val="365F91"/>
          <w:sz w:val="24"/>
          <w:szCs w:val="24"/>
        </w:rPr>
        <w:t xml:space="preserve"> </w:t>
      </w:r>
      <w:r w:rsidR="005C271B">
        <w:rPr>
          <w:rFonts w:ascii="Times New Roman" w:hAnsi="Times New Roman" w:cs="Times New Roman"/>
          <w:color w:val="365F91"/>
          <w:sz w:val="24"/>
          <w:szCs w:val="24"/>
        </w:rPr>
        <w:t>TSP</w:t>
      </w:r>
    </w:p>
    <w:p w:rsidR="00801FFF" w:rsidRDefault="00801FFF" w:rsidP="00801FFF">
      <w:pPr>
        <w:tabs>
          <w:tab w:val="left" w:pos="900"/>
          <w:tab w:val="left" w:pos="1530"/>
        </w:tabs>
        <w:ind w:left="360"/>
        <w:rPr>
          <w:rFonts w:ascii="Times New Roman" w:hAnsi="Times New Roman" w:cs="Times New Roman"/>
          <w:color w:val="365F91"/>
          <w:sz w:val="24"/>
          <w:szCs w:val="24"/>
        </w:rPr>
      </w:pPr>
    </w:p>
    <w:p w:rsidR="005C271B" w:rsidRDefault="00801FFF" w:rsidP="005C271B">
      <w:pPr>
        <w:ind w:left="810" w:hanging="447"/>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F</w:t>
      </w:r>
      <w:r w:rsidRPr="00C06B99">
        <w:rPr>
          <w:rFonts w:ascii="Times New Roman" w:hAnsi="Times New Roman" w:cs="Times New Roman"/>
          <w:color w:val="365F91"/>
          <w:sz w:val="24"/>
          <w:szCs w:val="24"/>
        </w:rPr>
        <w:t xml:space="preserve">or all adjacent </w:t>
      </w:r>
      <w:r w:rsidR="005C271B">
        <w:rPr>
          <w:rFonts w:ascii="Times New Roman" w:hAnsi="Times New Roman" w:cs="Times New Roman"/>
          <w:color w:val="365F91"/>
          <w:sz w:val="24"/>
          <w:szCs w:val="24"/>
        </w:rPr>
        <w:t>TSPs</w:t>
      </w:r>
      <w:r w:rsidRPr="00C06B99">
        <w:rPr>
          <w:rFonts w:ascii="Times New Roman" w:hAnsi="Times New Roman" w:cs="Times New Roman"/>
          <w:color w:val="365F91"/>
          <w:sz w:val="24"/>
          <w:szCs w:val="24"/>
        </w:rPr>
        <w:t xml:space="preserve"> and any other </w:t>
      </w:r>
      <w:r w:rsidR="005C271B">
        <w:rPr>
          <w:rFonts w:ascii="Times New Roman" w:hAnsi="Times New Roman" w:cs="Times New Roman"/>
          <w:color w:val="365F91"/>
          <w:sz w:val="24"/>
          <w:szCs w:val="24"/>
        </w:rPr>
        <w:t>TSP</w:t>
      </w:r>
      <w:r w:rsidRPr="00C06B99">
        <w:rPr>
          <w:rFonts w:ascii="Times New Roman" w:hAnsi="Times New Roman" w:cs="Times New Roman"/>
          <w:color w:val="365F91"/>
          <w:sz w:val="24"/>
          <w:szCs w:val="24"/>
        </w:rPr>
        <w:t>s</w:t>
      </w: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with which coordination agreements have been</w:t>
      </w:r>
      <w:r>
        <w:rPr>
          <w:rFonts w:ascii="Times New Roman" w:hAnsi="Times New Roman" w:cs="Times New Roman"/>
          <w:color w:val="365F91"/>
          <w:sz w:val="24"/>
          <w:szCs w:val="24"/>
        </w:rPr>
        <w:t xml:space="preserve"> </w:t>
      </w:r>
      <w:r w:rsidR="005C271B">
        <w:rPr>
          <w:rFonts w:ascii="Times New Roman" w:hAnsi="Times New Roman" w:cs="Times New Roman"/>
          <w:color w:val="365F91"/>
          <w:sz w:val="24"/>
          <w:szCs w:val="24"/>
        </w:rPr>
        <w:t xml:space="preserve"> </w:t>
      </w:r>
    </w:p>
    <w:p w:rsidR="00801FFF" w:rsidRDefault="005C271B" w:rsidP="005C271B">
      <w:pPr>
        <w:ind w:left="810" w:hanging="447"/>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Pr>
          <w:rFonts w:ascii="Times New Roman" w:hAnsi="Times New Roman" w:cs="Times New Roman"/>
          <w:color w:val="365F91"/>
          <w:sz w:val="24"/>
          <w:szCs w:val="24"/>
        </w:rPr>
        <w:t>executed</w:t>
      </w:r>
    </w:p>
    <w:p w:rsidR="00801FFF" w:rsidRDefault="00801FFF" w:rsidP="00801FFF">
      <w:pPr>
        <w:ind w:left="361" w:firstLine="1"/>
        <w:rPr>
          <w:rFonts w:ascii="Times New Roman" w:hAnsi="Times New Roman" w:cs="Times New Roman"/>
          <w:color w:val="365F91"/>
          <w:sz w:val="24"/>
          <w:szCs w:val="24"/>
        </w:rPr>
      </w:pP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Pr="00C06B99">
        <w:rPr>
          <w:rFonts w:ascii="Times New Roman" w:hAnsi="Times New Roman" w:cs="Times New Roman"/>
          <w:color w:val="365F91"/>
          <w:sz w:val="24"/>
          <w:szCs w:val="24"/>
        </w:rPr>
        <w:t xml:space="preserve">impact of any Grandfathered firm obligations expected to be scheduled or expected to flow </w:t>
      </w:r>
    </w:p>
    <w:p w:rsidR="00801FFF" w:rsidRDefault="00801FFF" w:rsidP="00801FFF">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 xml:space="preserve">for the </w:t>
      </w:r>
      <w:r w:rsidR="00041C82">
        <w:rPr>
          <w:rFonts w:ascii="Times New Roman" w:hAnsi="Times New Roman" w:cs="Times New Roman"/>
          <w:color w:val="365F91"/>
          <w:sz w:val="24"/>
          <w:szCs w:val="24"/>
        </w:rPr>
        <w:t>TSP’s area</w:t>
      </w:r>
    </w:p>
    <w:p w:rsidR="00801FFF" w:rsidRDefault="00801FFF" w:rsidP="00801FFF">
      <w:pPr>
        <w:ind w:left="360"/>
        <w:rPr>
          <w:rFonts w:ascii="Times New Roman" w:hAnsi="Times New Roman" w:cs="Times New Roman"/>
          <w:color w:val="365F91"/>
          <w:sz w:val="24"/>
          <w:szCs w:val="24"/>
        </w:rPr>
      </w:pPr>
    </w:p>
    <w:p w:rsidR="00801FFF" w:rsidRDefault="00801FFF" w:rsidP="00801FFF">
      <w:pPr>
        <w:ind w:left="360" w:firstLine="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Pr="00C06B99">
        <w:rPr>
          <w:rFonts w:ascii="Times New Roman" w:hAnsi="Times New Roman" w:cs="Times New Roman"/>
          <w:color w:val="365F91"/>
          <w:sz w:val="24"/>
          <w:szCs w:val="24"/>
        </w:rPr>
        <w:t xml:space="preserve">impact of any Grandfathered firm obligations expected to be scheduled or expected to flow </w:t>
      </w:r>
    </w:p>
    <w:p w:rsidR="00801FFF" w:rsidRDefault="00801FFF" w:rsidP="00801FFF">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 xml:space="preserve">that have a distribution factor equal to or greater than the percentage used to curtail in the </w:t>
      </w:r>
    </w:p>
    <w:p w:rsidR="00041C82" w:rsidRDefault="00801FFF" w:rsidP="00801FFF">
      <w:pPr>
        <w:ind w:left="360"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C06B99">
        <w:rPr>
          <w:rFonts w:ascii="Times New Roman" w:hAnsi="Times New Roman" w:cs="Times New Roman"/>
          <w:color w:val="365F91"/>
          <w:sz w:val="24"/>
          <w:szCs w:val="24"/>
        </w:rPr>
        <w:t xml:space="preserve">Interconnection-wide congestion management procedure used by the </w:t>
      </w:r>
      <w:r w:rsidR="00041C82">
        <w:rPr>
          <w:rFonts w:ascii="Times New Roman" w:hAnsi="Times New Roman" w:cs="Times New Roman"/>
          <w:color w:val="365F91"/>
          <w:sz w:val="24"/>
          <w:szCs w:val="24"/>
        </w:rPr>
        <w:t>TSP</w:t>
      </w:r>
      <w:r w:rsidRPr="00C06B99">
        <w:rPr>
          <w:rFonts w:ascii="Times New Roman" w:hAnsi="Times New Roman" w:cs="Times New Roman"/>
          <w:color w:val="365F91"/>
          <w:sz w:val="24"/>
          <w:szCs w:val="24"/>
        </w:rPr>
        <w:t xml:space="preserve"> for all adjacent </w:t>
      </w:r>
      <w:r w:rsidR="00041C82">
        <w:rPr>
          <w:rFonts w:ascii="Times New Roman" w:hAnsi="Times New Roman" w:cs="Times New Roman"/>
          <w:color w:val="365F91"/>
          <w:sz w:val="24"/>
          <w:szCs w:val="24"/>
        </w:rPr>
        <w:t>TSPs</w:t>
      </w:r>
      <w:r w:rsidRPr="00C06B99">
        <w:rPr>
          <w:rFonts w:ascii="Times New Roman" w:hAnsi="Times New Roman" w:cs="Times New Roman"/>
          <w:color w:val="365F91"/>
          <w:sz w:val="24"/>
          <w:szCs w:val="24"/>
        </w:rPr>
        <w:t xml:space="preserve"> and </w:t>
      </w:r>
    </w:p>
    <w:p w:rsidR="00801FFF" w:rsidRDefault="00041C82" w:rsidP="00041C82">
      <w:pPr>
        <w:ind w:left="361" w:firstLine="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C06B99">
        <w:rPr>
          <w:rFonts w:ascii="Times New Roman" w:hAnsi="Times New Roman" w:cs="Times New Roman"/>
          <w:color w:val="365F91"/>
          <w:sz w:val="24"/>
          <w:szCs w:val="24"/>
        </w:rPr>
        <w:t xml:space="preserve">any other </w:t>
      </w:r>
      <w:r>
        <w:rPr>
          <w:rFonts w:ascii="Times New Roman" w:hAnsi="Times New Roman" w:cs="Times New Roman"/>
          <w:color w:val="365F91"/>
          <w:sz w:val="24"/>
          <w:szCs w:val="24"/>
        </w:rPr>
        <w:t>TSPs</w:t>
      </w:r>
      <w:r w:rsidR="00801FFF" w:rsidRPr="00C06B99">
        <w:rPr>
          <w:rFonts w:ascii="Times New Roman" w:hAnsi="Times New Roman" w:cs="Times New Roman"/>
          <w:color w:val="365F91"/>
          <w:sz w:val="24"/>
          <w:szCs w:val="24"/>
        </w:rPr>
        <w:t xml:space="preserve"> with</w:t>
      </w:r>
      <w:r>
        <w:rPr>
          <w:rFonts w:ascii="Times New Roman" w:hAnsi="Times New Roman" w:cs="Times New Roman"/>
          <w:color w:val="365F91"/>
          <w:sz w:val="24"/>
          <w:szCs w:val="24"/>
        </w:rPr>
        <w:t xml:space="preserve"> </w:t>
      </w:r>
      <w:r w:rsidR="00801FFF" w:rsidRPr="00C06B99">
        <w:rPr>
          <w:rFonts w:ascii="Times New Roman" w:hAnsi="Times New Roman" w:cs="Times New Roman"/>
          <w:color w:val="365F91"/>
          <w:sz w:val="24"/>
          <w:szCs w:val="24"/>
        </w:rPr>
        <w:t>which coordination agreements have been executed</w:t>
      </w:r>
    </w:p>
    <w:p w:rsidR="00801FFF" w:rsidRDefault="00801FFF" w:rsidP="00801FFF">
      <w:pPr>
        <w:ind w:left="360"/>
        <w:rPr>
          <w:rFonts w:ascii="Times New Roman" w:hAnsi="Times New Roman" w:cs="Times New Roman"/>
          <w:color w:val="365F91"/>
          <w:sz w:val="24"/>
          <w:szCs w:val="24"/>
        </w:rPr>
      </w:pPr>
    </w:p>
    <w:p w:rsidR="00801FFF" w:rsidRPr="005E50A4" w:rsidRDefault="00801FFF" w:rsidP="00801FFF">
      <w:pPr>
        <w:ind w:left="36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w:t>
      </w:r>
      <w:r w:rsidRPr="00C06B99">
        <w:rPr>
          <w:rFonts w:ascii="Times New Roman" w:hAnsi="Times New Roman" w:cs="Times New Roman"/>
          <w:color w:val="365F91"/>
          <w:sz w:val="24"/>
          <w:szCs w:val="24"/>
        </w:rPr>
        <w:t xml:space="preserve">impact of </w:t>
      </w:r>
      <w:r w:rsidR="00041C82">
        <w:rPr>
          <w:rFonts w:ascii="Times New Roman" w:hAnsi="Times New Roman" w:cs="Times New Roman"/>
          <w:color w:val="365F91"/>
          <w:sz w:val="24"/>
          <w:szCs w:val="24"/>
        </w:rPr>
        <w:t xml:space="preserve">other </w:t>
      </w:r>
      <w:r w:rsidRPr="00C06B99">
        <w:rPr>
          <w:rFonts w:ascii="Times New Roman" w:hAnsi="Times New Roman" w:cs="Times New Roman"/>
          <w:color w:val="365F91"/>
          <w:sz w:val="24"/>
          <w:szCs w:val="24"/>
        </w:rPr>
        <w:t xml:space="preserve">firm services determined by the </w:t>
      </w:r>
      <w:r w:rsidR="00041C82">
        <w:rPr>
          <w:rFonts w:ascii="Times New Roman" w:hAnsi="Times New Roman" w:cs="Times New Roman"/>
          <w:color w:val="365F91"/>
          <w:sz w:val="24"/>
          <w:szCs w:val="24"/>
        </w:rPr>
        <w:t>TSP</w:t>
      </w:r>
      <w:r w:rsidRPr="00C06B99">
        <w:rPr>
          <w:rFonts w:ascii="Times New Roman" w:hAnsi="Times New Roman" w:cs="Times New Roman"/>
          <w:color w:val="365F91"/>
          <w:sz w:val="24"/>
          <w:szCs w:val="24"/>
        </w:rPr>
        <w:t>.</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FC5C33" w:rsidRDefault="00FC5C33" w:rsidP="00A52681">
      <w:pPr>
        <w:widowControl w:val="0"/>
        <w:tabs>
          <w:tab w:val="left" w:pos="60"/>
        </w:tabs>
        <w:spacing w:line="200" w:lineRule="exact"/>
        <w:rPr>
          <w:rFonts w:ascii="Times New Roman" w:hAnsi="Times New Roman" w:cs="Times New Roman"/>
          <w:b/>
          <w:sz w:val="24"/>
          <w:szCs w:val="24"/>
        </w:rPr>
      </w:pPr>
    </w:p>
    <w:p w:rsidR="00FC5C33" w:rsidRDefault="00FC5C33" w:rsidP="00A52681">
      <w:pPr>
        <w:widowControl w:val="0"/>
        <w:tabs>
          <w:tab w:val="left" w:pos="60"/>
        </w:tabs>
        <w:spacing w:line="200" w:lineRule="exact"/>
        <w:rPr>
          <w:rFonts w:ascii="Times New Roman" w:hAnsi="Times New Roman" w:cs="Times New Roman"/>
          <w:b/>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8342B8" w:rsidRPr="008342B8" w:rsidRDefault="008342B8" w:rsidP="00E0426B">
      <w:pPr>
        <w:pStyle w:val="ListParagraph"/>
        <w:numPr>
          <w:ilvl w:val="0"/>
          <w:numId w:val="23"/>
        </w:numPr>
        <w:tabs>
          <w:tab w:val="left" w:pos="-1800"/>
        </w:tabs>
        <w:autoSpaceDE/>
        <w:autoSpaceDN/>
        <w:adjustRightInd/>
        <w:spacing w:after="120"/>
        <w:rPr>
          <w:rFonts w:ascii="Times New Roman" w:hAnsi="Times New Roman" w:cs="Times New Roman"/>
          <w:vanish/>
          <w:sz w:val="24"/>
          <w:szCs w:val="24"/>
        </w:rPr>
      </w:pPr>
    </w:p>
    <w:p w:rsidR="00E0426B" w:rsidRPr="004E71C2" w:rsidRDefault="00E0426B" w:rsidP="00E0426B">
      <w:pPr>
        <w:pStyle w:val="Requirement"/>
        <w:numPr>
          <w:ilvl w:val="0"/>
          <w:numId w:val="23"/>
        </w:numPr>
        <w:tabs>
          <w:tab w:val="clear" w:pos="3240"/>
          <w:tab w:val="left" w:pos="-1800"/>
        </w:tabs>
      </w:pPr>
      <w:r w:rsidRPr="00BF45CF">
        <w:t xml:space="preserve">When calculating </w:t>
      </w:r>
      <w:r>
        <w:t xml:space="preserve">the impact of </w:t>
      </w:r>
      <w:smartTag w:uri="urn:schemas-microsoft-com:office:smarttags" w:element="stockticker">
        <w:r w:rsidRPr="00BF45CF">
          <w:t>ETC</w:t>
        </w:r>
      </w:smartTag>
      <w:r w:rsidRPr="00BF45CF">
        <w:t xml:space="preserve"> for non-firm commitments (ETC</w:t>
      </w:r>
      <w:r w:rsidRPr="00E0426B">
        <w:rPr>
          <w:vertAlign w:val="subscript"/>
        </w:rPr>
        <w:t>NFi</w:t>
      </w:r>
      <w:r w:rsidRPr="00BF45CF">
        <w:t xml:space="preserve">) for all time </w:t>
      </w:r>
      <w:r>
        <w:t>periods</w:t>
      </w:r>
      <w:r w:rsidRPr="00BF45CF">
        <w:t xml:space="preserve"> </w:t>
      </w:r>
      <w:r w:rsidRPr="004E71C2">
        <w:t xml:space="preserve">for a Flowgate the Transmission Service Provider shall sum: </w:t>
      </w:r>
      <w:r w:rsidRPr="00E0426B">
        <w:rPr>
          <w:rFonts w:ascii="TimesNewRomanPSMT" w:hAnsi="TimesNewRomanPSMT" w:cs="TimesNewRomanPSMT"/>
        </w:rPr>
        <w:t>[</w:t>
      </w:r>
      <w:r w:rsidRPr="00E0426B">
        <w:rPr>
          <w:i/>
          <w:iCs/>
        </w:rPr>
        <w:t>Violation Risk Factor: To Be Determined</w:t>
      </w:r>
      <w:r w:rsidRPr="00E0426B">
        <w:rPr>
          <w:rFonts w:ascii="TimesNewRomanPSMT" w:hAnsi="TimesNewRomanPSMT" w:cs="TimesNewRomanPSMT"/>
        </w:rPr>
        <w:t>] [</w:t>
      </w:r>
      <w:r w:rsidRPr="00E0426B">
        <w:rPr>
          <w:i/>
          <w:iCs/>
        </w:rPr>
        <w:t>Time Horizon: Operations Planning</w:t>
      </w:r>
      <w:r w:rsidRPr="00E0426B">
        <w:rPr>
          <w:rFonts w:ascii="TimesNewRomanPSMT" w:hAnsi="TimesNewRomanPSMT" w:cs="TimesNewRomanPSMT"/>
        </w:rPr>
        <w:t>]</w:t>
      </w:r>
    </w:p>
    <w:p w:rsidR="00E0426B" w:rsidRPr="00473018" w:rsidRDefault="00E0426B" w:rsidP="00E0426B">
      <w:pPr>
        <w:pStyle w:val="Requirement"/>
        <w:numPr>
          <w:ilvl w:val="1"/>
          <w:numId w:val="5"/>
        </w:numPr>
        <w:tabs>
          <w:tab w:val="clear" w:pos="1726"/>
          <w:tab w:val="clear" w:pos="3240"/>
          <w:tab w:val="num" w:pos="-2340"/>
          <w:tab w:val="left" w:pos="-2160"/>
        </w:tabs>
        <w:ind w:left="1800" w:hanging="720"/>
      </w:pPr>
      <w:r w:rsidRPr="00473018">
        <w:t xml:space="preserve">The impact of all </w:t>
      </w:r>
      <w:r>
        <w:t>c</w:t>
      </w:r>
      <w:r w:rsidRPr="00473018">
        <w:t xml:space="preserve">onfirmed </w:t>
      </w:r>
      <w:r>
        <w:t>n</w:t>
      </w:r>
      <w:r w:rsidRPr="00473018">
        <w:t>on-</w:t>
      </w:r>
      <w:r>
        <w:t>f</w:t>
      </w:r>
      <w:r w:rsidRPr="00473018">
        <w:t xml:space="preserve">irm Point-to-Point Transmission Service </w:t>
      </w:r>
      <w:r>
        <w:t xml:space="preserve">expected to be scheduled </w:t>
      </w:r>
      <w:r w:rsidRPr="00473018">
        <w:t>for the Transmission Service Provider’s area</w:t>
      </w:r>
      <w:r>
        <w:t>.</w:t>
      </w:r>
      <w:r w:rsidRPr="00473018">
        <w:t xml:space="preserve"> </w:t>
      </w:r>
    </w:p>
    <w:p w:rsidR="00E0426B" w:rsidRPr="00473018" w:rsidRDefault="00E0426B" w:rsidP="00E0426B">
      <w:pPr>
        <w:pStyle w:val="Requirement"/>
        <w:numPr>
          <w:ilvl w:val="1"/>
          <w:numId w:val="5"/>
        </w:numPr>
        <w:tabs>
          <w:tab w:val="clear" w:pos="1726"/>
          <w:tab w:val="clear" w:pos="3240"/>
          <w:tab w:val="num" w:pos="-2340"/>
          <w:tab w:val="left" w:pos="-2160"/>
        </w:tabs>
        <w:ind w:left="1800" w:hanging="720"/>
      </w:pPr>
      <w:r w:rsidRPr="00473018">
        <w:t xml:space="preserve">The impact of any </w:t>
      </w:r>
      <w:r>
        <w:t>c</w:t>
      </w:r>
      <w:r w:rsidRPr="00473018">
        <w:t xml:space="preserve">onfirmed </w:t>
      </w:r>
      <w:r>
        <w:t>n</w:t>
      </w:r>
      <w:r w:rsidRPr="00473018">
        <w:t>on-</w:t>
      </w:r>
      <w:r>
        <w:t>f</w:t>
      </w:r>
      <w:r w:rsidRPr="00473018">
        <w:t xml:space="preserve">irm Point-to-Point Transmission Service </w:t>
      </w:r>
      <w:r>
        <w:t>expected to be scheduled</w:t>
      </w:r>
      <w:r w:rsidRPr="002808FF">
        <w:t>, filtered to reduce or eliminate duplicate impacts from transactions using Transmission service from multiple Transmission Service Providers,</w:t>
      </w:r>
      <w:r>
        <w:t xml:space="preserve"> that have a distribution factor</w:t>
      </w:r>
      <w:r w:rsidRPr="002808FF">
        <w:t xml:space="preserve"> </w:t>
      </w:r>
      <w:r>
        <w:t>equal to or greater than th</w:t>
      </w:r>
      <w:r w:rsidRPr="00C34547">
        <w:t>e percentage</w:t>
      </w:r>
      <w:r w:rsidRPr="00C34547">
        <w:rPr>
          <w:rStyle w:val="FootnoteReference"/>
        </w:rPr>
        <w:footnoteReference w:id="5"/>
      </w:r>
      <w:r>
        <w:t xml:space="preserve"> used to curtail in the Interconnection-wide congestion management procedure used by the Transmission Service Provider,</w:t>
      </w:r>
      <w:r w:rsidRPr="00473018">
        <w:t xml:space="preserve"> for all adjacent Transmission Service Providers and any other Transmission Service Providers with which coordination agreements have been executed.  </w:t>
      </w:r>
    </w:p>
    <w:p w:rsidR="00E0426B" w:rsidRPr="00F90371" w:rsidRDefault="00E0426B" w:rsidP="00E0426B">
      <w:pPr>
        <w:pStyle w:val="Requirement"/>
        <w:numPr>
          <w:ilvl w:val="1"/>
          <w:numId w:val="5"/>
        </w:numPr>
        <w:tabs>
          <w:tab w:val="clear" w:pos="1726"/>
          <w:tab w:val="clear" w:pos="3240"/>
          <w:tab w:val="num" w:pos="-2340"/>
          <w:tab w:val="left" w:pos="-2160"/>
        </w:tabs>
        <w:ind w:left="1800" w:hanging="720"/>
      </w:pPr>
      <w:r w:rsidRPr="00F90371">
        <w:t xml:space="preserve">The impact of any Grandfathered non-firm </w:t>
      </w:r>
      <w:r>
        <w:t>obligations</w:t>
      </w:r>
      <w:r w:rsidRPr="00F90371">
        <w:t xml:space="preserve"> </w:t>
      </w:r>
      <w:r>
        <w:t xml:space="preserve">expected to be scheduled or expected to flow </w:t>
      </w:r>
      <w:r w:rsidRPr="00F90371">
        <w:t>for the Transmission Service Provider’s area</w:t>
      </w:r>
      <w:r>
        <w:t>.</w:t>
      </w:r>
    </w:p>
    <w:p w:rsidR="00E0426B" w:rsidRDefault="00E0426B" w:rsidP="00E0426B">
      <w:pPr>
        <w:pStyle w:val="Requirement"/>
        <w:numPr>
          <w:ilvl w:val="1"/>
          <w:numId w:val="5"/>
        </w:numPr>
        <w:tabs>
          <w:tab w:val="clear" w:pos="1726"/>
          <w:tab w:val="clear" w:pos="3240"/>
          <w:tab w:val="num" w:pos="-2340"/>
          <w:tab w:val="left" w:pos="-2160"/>
        </w:tabs>
        <w:ind w:left="1800" w:hanging="720"/>
      </w:pPr>
      <w:r w:rsidRPr="00F90371">
        <w:t xml:space="preserve">The impact of any Grandfathered non-firm </w:t>
      </w:r>
      <w:r>
        <w:t>obligations</w:t>
      </w:r>
      <w:r w:rsidRPr="00F90371">
        <w:t xml:space="preserve"> </w:t>
      </w:r>
      <w:r>
        <w:t>expected to be scheduled or expected to flow that have a distribution factor</w:t>
      </w:r>
      <w:r w:rsidRPr="002808FF">
        <w:t xml:space="preserve"> </w:t>
      </w:r>
      <w:r>
        <w:t xml:space="preserve">equal to or greater than the </w:t>
      </w:r>
      <w:r w:rsidRPr="00C34547">
        <w:t>percentage</w:t>
      </w:r>
      <w:r w:rsidRPr="00C34547">
        <w:rPr>
          <w:rStyle w:val="FootnoteReference"/>
        </w:rPr>
        <w:footnoteReference w:id="6"/>
      </w:r>
      <w:r>
        <w:t xml:space="preserve"> used to curtail in the Interconnection-wide congestion management procedure used by the Transmission Service Provider,</w:t>
      </w:r>
      <w:r w:rsidRPr="00F90371">
        <w:t xml:space="preserve"> for all adjacent Transmission Service Providers</w:t>
      </w:r>
      <w:r>
        <w:t xml:space="preserve"> </w:t>
      </w:r>
      <w:r w:rsidRPr="00F90371">
        <w:t xml:space="preserve">and any other Transmission Service Providers with which coordination agreements have been executed. </w:t>
      </w:r>
    </w:p>
    <w:p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t>The impact of non-firm Network Integration Transmission Service serving Load within the Transmission Service Provider’s area (i.e., secondary service), to include load growth, and losses not otherwise included in Transmission Reliability Margin or Capacity Benefit Margin.</w:t>
      </w:r>
    </w:p>
    <w:p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rsidRPr="002808FF">
        <w:t xml:space="preserve">The impact of any </w:t>
      </w:r>
      <w:r>
        <w:t>non-f</w:t>
      </w:r>
      <w:r w:rsidRPr="00295932">
        <w:t xml:space="preserve">irm Network </w:t>
      </w:r>
      <w:r>
        <w:t>Integration Transmission</w:t>
      </w:r>
      <w:r w:rsidRPr="00295932">
        <w:t xml:space="preserve"> Service</w:t>
      </w:r>
      <w:r>
        <w:t xml:space="preserve"> (secondary service) with a distribution factor</w:t>
      </w:r>
      <w:r w:rsidRPr="002808FF">
        <w:t xml:space="preserve"> </w:t>
      </w:r>
      <w:r>
        <w:t xml:space="preserve">equal to or greater than </w:t>
      </w:r>
      <w:r w:rsidRPr="00C34547">
        <w:t>the percentage</w:t>
      </w:r>
      <w:r w:rsidRPr="00C34547">
        <w:rPr>
          <w:rStyle w:val="FootnoteReference"/>
        </w:rPr>
        <w:footnoteReference w:id="7"/>
      </w:r>
      <w:r w:rsidRPr="00C34547">
        <w:t xml:space="preserve"> use</w:t>
      </w:r>
      <w:r>
        <w:t xml:space="preserve">d to curtail in the Interconnection-wide congestion management procedure used by the Transmission Service Provider, </w:t>
      </w:r>
      <w:r w:rsidRPr="002808FF">
        <w:t>filtered to reduce or eliminate duplicate impacts from transactions using Transmission service from multiple Transmission Service Providers, for all adjacent Transmission Service Providers and any other</w:t>
      </w:r>
      <w:r>
        <w:t xml:space="preserve"> </w:t>
      </w:r>
      <w:r w:rsidRPr="002808FF">
        <w:t>Transmission Service Providers with which coordination agreements have been executed.</w:t>
      </w:r>
    </w:p>
    <w:p w:rsidR="00E0426B" w:rsidRDefault="00E0426B" w:rsidP="00E0426B">
      <w:pPr>
        <w:pStyle w:val="Requirement"/>
        <w:numPr>
          <w:ilvl w:val="1"/>
          <w:numId w:val="5"/>
        </w:numPr>
        <w:tabs>
          <w:tab w:val="clear" w:pos="1726"/>
          <w:tab w:val="num" w:pos="-2340"/>
          <w:tab w:val="left" w:pos="-2160"/>
          <w:tab w:val="left" w:pos="1800"/>
          <w:tab w:val="left" w:pos="2592"/>
        </w:tabs>
        <w:ind w:left="1800" w:hanging="720"/>
      </w:pPr>
      <w:r>
        <w:t>The impact of other non-firm services determined by the Transmission Service Provider.</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R7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8342B8">
        <w:rPr>
          <w:rFonts w:ascii="Times New Roman" w:hAnsi="Times New Roman" w:cs="Times New Roman"/>
          <w:b/>
          <w:bCs/>
          <w:color w:val="003366"/>
          <w:sz w:val="24"/>
          <w:szCs w:val="24"/>
        </w:rPr>
        <w:t>7</w:t>
      </w:r>
    </w:p>
    <w:p w:rsidR="00A52681" w:rsidRPr="005E50A4" w:rsidRDefault="00A52681" w:rsidP="00A52681">
      <w:pPr>
        <w:rPr>
          <w:rFonts w:ascii="Times New Roman" w:hAnsi="Times New Roman" w:cs="Times New Roman"/>
          <w:color w:val="365F91"/>
          <w:sz w:val="24"/>
          <w:szCs w:val="24"/>
        </w:rPr>
      </w:pPr>
    </w:p>
    <w:p w:rsidR="00801FFF" w:rsidRPr="005E50A4"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when calculating the impact of ETC for non-firm commitments for a Flowgate the TSP summed:</w:t>
      </w:r>
    </w:p>
    <w:p w:rsidR="00801FFF" w:rsidRPr="005E50A4" w:rsidRDefault="00801FFF" w:rsidP="00801FFF">
      <w:pPr>
        <w:ind w:left="360"/>
        <w:rPr>
          <w:rFonts w:ascii="Times New Roman" w:hAnsi="Times New Roman" w:cs="Times New Roman"/>
          <w:color w:val="365F91"/>
          <w:sz w:val="24"/>
          <w:szCs w:val="24"/>
        </w:rPr>
      </w:pPr>
    </w:p>
    <w:p w:rsidR="00801FFF" w:rsidRDefault="00801FFF" w:rsidP="00801FFF">
      <w:pPr>
        <w:tabs>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all confirmed non-firm Point-to-Point Transmission Service expected to be </w:t>
      </w:r>
    </w:p>
    <w:p w:rsidR="00801FFF" w:rsidRDefault="00801FFF" w:rsidP="00801FFF">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scheduled for the TSP’s area.</w:t>
      </w:r>
    </w:p>
    <w:p w:rsidR="00801FFF" w:rsidRDefault="00801FFF" w:rsidP="00801FFF">
      <w:pPr>
        <w:ind w:left="360"/>
        <w:rPr>
          <w:rFonts w:ascii="Times New Roman" w:hAnsi="Times New Roman" w:cs="Times New Roman"/>
          <w:color w:val="365F91"/>
          <w:sz w:val="24"/>
          <w:szCs w:val="24"/>
        </w:rPr>
      </w:pPr>
    </w:p>
    <w:p w:rsidR="00801FFF" w:rsidRDefault="00801FFF" w:rsidP="00801FFF">
      <w:pPr>
        <w:tabs>
          <w:tab w:val="left" w:pos="1530"/>
        </w:tabs>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any confirmed non-firm Point-to-Point Transmission Service expected to be </w:t>
      </w:r>
    </w:p>
    <w:p w:rsidR="00801FFF" w:rsidRDefault="00801FFF" w:rsidP="00801FFF">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scheduled </w:t>
      </w:r>
      <w:r w:rsidRPr="007B2163">
        <w:rPr>
          <w:rFonts w:ascii="Times New Roman" w:hAnsi="Times New Roman" w:cs="Times New Roman"/>
          <w:color w:val="365F91"/>
          <w:sz w:val="24"/>
          <w:szCs w:val="24"/>
        </w:rPr>
        <w:t xml:space="preserve">, filtered to reduce or eliminate duplicate impacts from transactions using </w:t>
      </w:r>
    </w:p>
    <w:p w:rsidR="00F618AE" w:rsidRDefault="00801FFF" w:rsidP="00801FFF">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ab/>
      </w:r>
      <w:r w:rsidRPr="007B2163">
        <w:rPr>
          <w:rFonts w:ascii="Times New Roman" w:hAnsi="Times New Roman" w:cs="Times New Roman"/>
          <w:color w:val="365F91"/>
          <w:sz w:val="24"/>
          <w:szCs w:val="24"/>
        </w:rPr>
        <w:t xml:space="preserve">Transmission service from multiple </w:t>
      </w:r>
      <w:r w:rsidR="00F618AE">
        <w:rPr>
          <w:rFonts w:ascii="Times New Roman" w:hAnsi="Times New Roman" w:cs="Times New Roman"/>
          <w:color w:val="365F91"/>
          <w:sz w:val="24"/>
          <w:szCs w:val="24"/>
        </w:rPr>
        <w:t>TSPs</w:t>
      </w:r>
      <w:r w:rsidRPr="007B2163">
        <w:rPr>
          <w:rFonts w:ascii="Times New Roman" w:hAnsi="Times New Roman" w:cs="Times New Roman"/>
          <w:color w:val="365F91"/>
          <w:sz w:val="24"/>
          <w:szCs w:val="24"/>
        </w:rPr>
        <w:t xml:space="preserve">, that have a distribution </w:t>
      </w:r>
      <w:r>
        <w:rPr>
          <w:rFonts w:ascii="Times New Roman" w:hAnsi="Times New Roman" w:cs="Times New Roman"/>
          <w:color w:val="365F91"/>
          <w:sz w:val="24"/>
          <w:szCs w:val="24"/>
        </w:rPr>
        <w:tab/>
      </w:r>
      <w:r w:rsidRPr="007B2163">
        <w:rPr>
          <w:rFonts w:ascii="Times New Roman" w:hAnsi="Times New Roman" w:cs="Times New Roman"/>
          <w:color w:val="365F91"/>
          <w:sz w:val="24"/>
          <w:szCs w:val="24"/>
        </w:rPr>
        <w:t xml:space="preserve">factor equal to or greater than </w:t>
      </w:r>
    </w:p>
    <w:p w:rsidR="00F618AE" w:rsidRDefault="00F618AE" w:rsidP="00801FFF">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 xml:space="preserve">the percentage used to curtail in the Interconnection-wide </w:t>
      </w:r>
      <w:r w:rsidR="00801FFF">
        <w:rPr>
          <w:rFonts w:ascii="Times New Roman" w:hAnsi="Times New Roman" w:cs="Times New Roman"/>
          <w:color w:val="365F91"/>
          <w:sz w:val="24"/>
          <w:szCs w:val="24"/>
        </w:rPr>
        <w:tab/>
      </w:r>
      <w:r w:rsidR="00801FFF" w:rsidRPr="007B2163">
        <w:rPr>
          <w:rFonts w:ascii="Times New Roman" w:hAnsi="Times New Roman" w:cs="Times New Roman"/>
          <w:color w:val="365F91"/>
          <w:sz w:val="24"/>
          <w:szCs w:val="24"/>
        </w:rPr>
        <w:t xml:space="preserve">congestion management procedure </w:t>
      </w:r>
    </w:p>
    <w:p w:rsidR="00F618AE" w:rsidRDefault="00F618AE" w:rsidP="00801FFF">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 xml:space="preserve">used by the </w:t>
      </w:r>
      <w:r>
        <w:rPr>
          <w:rFonts w:ascii="Times New Roman" w:hAnsi="Times New Roman" w:cs="Times New Roman"/>
          <w:color w:val="365F91"/>
          <w:sz w:val="24"/>
          <w:szCs w:val="24"/>
        </w:rPr>
        <w:t>TSP</w:t>
      </w:r>
      <w:r w:rsidR="00801FFF" w:rsidRPr="007B2163">
        <w:rPr>
          <w:rFonts w:ascii="Times New Roman" w:hAnsi="Times New Roman" w:cs="Times New Roman"/>
          <w:color w:val="365F91"/>
          <w:sz w:val="24"/>
          <w:szCs w:val="24"/>
        </w:rPr>
        <w:t xml:space="preserve">, for all adjacent </w:t>
      </w:r>
      <w:r w:rsidR="00801FFF">
        <w:rPr>
          <w:rFonts w:ascii="Times New Roman" w:hAnsi="Times New Roman" w:cs="Times New Roman"/>
          <w:color w:val="365F91"/>
          <w:sz w:val="24"/>
          <w:szCs w:val="24"/>
        </w:rPr>
        <w:tab/>
      </w:r>
      <w:r>
        <w:rPr>
          <w:rFonts w:ascii="Times New Roman" w:hAnsi="Times New Roman" w:cs="Times New Roman"/>
          <w:color w:val="365F91"/>
          <w:sz w:val="24"/>
          <w:szCs w:val="24"/>
        </w:rPr>
        <w:t xml:space="preserve">TSPs </w:t>
      </w:r>
      <w:r w:rsidR="00801FFF" w:rsidRPr="007B2163">
        <w:rPr>
          <w:rFonts w:ascii="Times New Roman" w:hAnsi="Times New Roman" w:cs="Times New Roman"/>
          <w:color w:val="365F91"/>
          <w:sz w:val="24"/>
          <w:szCs w:val="24"/>
        </w:rPr>
        <w:t xml:space="preserve"> and any other </w:t>
      </w:r>
      <w:r>
        <w:rPr>
          <w:rFonts w:ascii="Times New Roman" w:hAnsi="Times New Roman" w:cs="Times New Roman"/>
          <w:color w:val="365F91"/>
          <w:sz w:val="24"/>
          <w:szCs w:val="24"/>
        </w:rPr>
        <w:t>TSPs</w:t>
      </w:r>
      <w:r w:rsidR="00801FFF" w:rsidRPr="007B2163">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00801FFF" w:rsidRPr="007B2163">
        <w:rPr>
          <w:rFonts w:ascii="Times New Roman" w:hAnsi="Times New Roman" w:cs="Times New Roman"/>
          <w:color w:val="365F91"/>
          <w:sz w:val="24"/>
          <w:szCs w:val="24"/>
        </w:rPr>
        <w:t xml:space="preserve">with which coordination </w:t>
      </w:r>
    </w:p>
    <w:p w:rsidR="00801FFF" w:rsidRDefault="00F618AE" w:rsidP="00F618AE">
      <w:pPr>
        <w:tabs>
          <w:tab w:val="left" w:pos="1530"/>
        </w:tabs>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 xml:space="preserve">agreements have been </w:t>
      </w:r>
      <w:r>
        <w:rPr>
          <w:rFonts w:ascii="Times New Roman" w:hAnsi="Times New Roman" w:cs="Times New Roman"/>
          <w:color w:val="365F91"/>
          <w:sz w:val="24"/>
          <w:szCs w:val="24"/>
        </w:rPr>
        <w:t>ex</w:t>
      </w:r>
      <w:r w:rsidR="00801FFF" w:rsidRPr="007B2163">
        <w:rPr>
          <w:rFonts w:ascii="Times New Roman" w:hAnsi="Times New Roman" w:cs="Times New Roman"/>
          <w:color w:val="365F91"/>
          <w:sz w:val="24"/>
          <w:szCs w:val="24"/>
        </w:rPr>
        <w:t xml:space="preserve">ecuted.  </w:t>
      </w:r>
      <w:r w:rsidR="00801FFF" w:rsidRPr="005E50A4">
        <w:rPr>
          <w:rFonts w:ascii="Times New Roman" w:hAnsi="Times New Roman" w:cs="Times New Roman"/>
          <w:color w:val="365F91"/>
          <w:sz w:val="24"/>
          <w:szCs w:val="24"/>
        </w:rPr>
        <w:t xml:space="preserve">       </w:t>
      </w:r>
    </w:p>
    <w:p w:rsidR="00801FFF" w:rsidRDefault="00801FFF" w:rsidP="00801FFF">
      <w:pPr>
        <w:ind w:left="360"/>
        <w:rPr>
          <w:rFonts w:ascii="Times New Roman" w:hAnsi="Times New Roman" w:cs="Times New Roman"/>
          <w:color w:val="365F91"/>
          <w:sz w:val="24"/>
          <w:szCs w:val="24"/>
        </w:rPr>
      </w:pPr>
    </w:p>
    <w:p w:rsidR="00F618AE" w:rsidRDefault="00801FFF" w:rsidP="00801FFF">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00F618AE">
        <w:rPr>
          <w:rFonts w:ascii="Times New Roman" w:hAnsi="Times New Roman" w:cs="Times New Roman"/>
          <w:color w:val="365F91"/>
          <w:sz w:val="24"/>
          <w:szCs w:val="24"/>
        </w:rPr>
        <w:t xml:space="preserve">        </w:t>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Pr="007B2163">
        <w:rPr>
          <w:rFonts w:ascii="Times New Roman" w:hAnsi="Times New Roman" w:cs="Times New Roman"/>
          <w:color w:val="365F91"/>
          <w:sz w:val="24"/>
          <w:szCs w:val="24"/>
        </w:rPr>
        <w:t xml:space="preserve">any Grandfathered non-firm obligations expected to be scheduled or </w:t>
      </w:r>
    </w:p>
    <w:p w:rsidR="00801FFF" w:rsidRDefault="00F618AE" w:rsidP="00F618AE">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 xml:space="preserve">expected to flow for the </w:t>
      </w:r>
      <w:r>
        <w:rPr>
          <w:rFonts w:ascii="Times New Roman" w:hAnsi="Times New Roman" w:cs="Times New Roman"/>
          <w:color w:val="365F91"/>
          <w:sz w:val="24"/>
          <w:szCs w:val="24"/>
        </w:rPr>
        <w:t>TSP’s pr</w:t>
      </w:r>
      <w:r w:rsidR="00801FFF" w:rsidRPr="007B2163">
        <w:rPr>
          <w:rFonts w:ascii="Times New Roman" w:hAnsi="Times New Roman" w:cs="Times New Roman"/>
          <w:color w:val="365F91"/>
          <w:sz w:val="24"/>
          <w:szCs w:val="24"/>
        </w:rPr>
        <w:t>ovider’s area</w:t>
      </w:r>
    </w:p>
    <w:p w:rsidR="00801FFF" w:rsidRDefault="00801FFF" w:rsidP="00801FFF">
      <w:pPr>
        <w:ind w:left="360"/>
        <w:rPr>
          <w:rFonts w:ascii="Times New Roman" w:hAnsi="Times New Roman" w:cs="Times New Roman"/>
          <w:color w:val="365F91"/>
          <w:sz w:val="24"/>
          <w:szCs w:val="24"/>
        </w:rPr>
      </w:pPr>
    </w:p>
    <w:p w:rsidR="00F618AE" w:rsidRDefault="00801FFF" w:rsidP="00F618AE">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00F618AE">
        <w:rPr>
          <w:rFonts w:ascii="Times New Roman" w:hAnsi="Times New Roman" w:cs="Times New Roman"/>
          <w:color w:val="365F91"/>
          <w:sz w:val="24"/>
          <w:szCs w:val="24"/>
        </w:rPr>
        <w:t xml:space="preserve">        </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Pr="007B2163">
        <w:rPr>
          <w:rFonts w:ascii="Times New Roman" w:hAnsi="Times New Roman" w:cs="Times New Roman"/>
          <w:color w:val="365F91"/>
          <w:sz w:val="24"/>
          <w:szCs w:val="24"/>
        </w:rPr>
        <w:t xml:space="preserve">any Grandfathered non-firm obligations expected to be scheduled or </w:t>
      </w:r>
    </w:p>
    <w:p w:rsidR="00801FFF" w:rsidRDefault="00F618AE" w:rsidP="00F618AE">
      <w:pPr>
        <w:ind w:left="1530" w:hanging="117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expected to Flow</w:t>
      </w:r>
      <w:r w:rsidR="00801FFF">
        <w:rPr>
          <w:rFonts w:ascii="Times New Roman" w:hAnsi="Times New Roman" w:cs="Times New Roman"/>
          <w:color w:val="365F91"/>
          <w:sz w:val="24"/>
          <w:szCs w:val="24"/>
        </w:rPr>
        <w:t xml:space="preserve"> </w:t>
      </w:r>
      <w:r w:rsidR="00801FFF" w:rsidRPr="007B2163">
        <w:rPr>
          <w:rFonts w:ascii="Times New Roman" w:hAnsi="Times New Roman" w:cs="Times New Roman"/>
          <w:color w:val="365F91"/>
          <w:sz w:val="24"/>
          <w:szCs w:val="24"/>
        </w:rPr>
        <w:t xml:space="preserve">that have a distribution factor equal to or greater than the percentage used to curtail in the Interconnection-wide congestion management procedure used by the </w:t>
      </w:r>
      <w:r>
        <w:rPr>
          <w:rFonts w:ascii="Times New Roman" w:hAnsi="Times New Roman" w:cs="Times New Roman"/>
          <w:color w:val="365F91"/>
          <w:sz w:val="24"/>
          <w:szCs w:val="24"/>
        </w:rPr>
        <w:t>TSP</w:t>
      </w:r>
      <w:r w:rsidR="00801FFF" w:rsidRPr="007B2163">
        <w:rPr>
          <w:rFonts w:ascii="Times New Roman" w:hAnsi="Times New Roman" w:cs="Times New Roman"/>
          <w:color w:val="365F91"/>
          <w:sz w:val="24"/>
          <w:szCs w:val="24"/>
        </w:rPr>
        <w:t xml:space="preserve">, for all adjacent </w:t>
      </w:r>
      <w:r>
        <w:rPr>
          <w:rFonts w:ascii="Times New Roman" w:hAnsi="Times New Roman" w:cs="Times New Roman"/>
          <w:color w:val="365F91"/>
          <w:sz w:val="24"/>
          <w:szCs w:val="24"/>
        </w:rPr>
        <w:t>TSPs</w:t>
      </w:r>
      <w:r w:rsidR="00801FFF" w:rsidRPr="007B2163">
        <w:rPr>
          <w:rFonts w:ascii="Times New Roman" w:hAnsi="Times New Roman" w:cs="Times New Roman"/>
          <w:color w:val="365F91"/>
          <w:sz w:val="24"/>
          <w:szCs w:val="24"/>
        </w:rPr>
        <w:t xml:space="preserve"> and any other </w:t>
      </w:r>
      <w:r>
        <w:rPr>
          <w:rFonts w:ascii="Times New Roman" w:hAnsi="Times New Roman" w:cs="Times New Roman"/>
          <w:color w:val="365F91"/>
          <w:sz w:val="24"/>
          <w:szCs w:val="24"/>
        </w:rPr>
        <w:t>TSPs</w:t>
      </w:r>
      <w:r w:rsidR="00801FFF" w:rsidRPr="007B2163">
        <w:rPr>
          <w:rFonts w:ascii="Times New Roman" w:hAnsi="Times New Roman" w:cs="Times New Roman"/>
          <w:color w:val="365F91"/>
          <w:sz w:val="24"/>
          <w:szCs w:val="24"/>
        </w:rPr>
        <w:t xml:space="preserve"> with which coordination agreements have been executed</w:t>
      </w:r>
    </w:p>
    <w:p w:rsidR="00801FFF" w:rsidRDefault="00801FFF" w:rsidP="00801FFF">
      <w:pPr>
        <w:ind w:left="360"/>
        <w:rPr>
          <w:rFonts w:ascii="Times New Roman" w:hAnsi="Times New Roman" w:cs="Times New Roman"/>
          <w:color w:val="365F91"/>
          <w:sz w:val="24"/>
          <w:szCs w:val="24"/>
        </w:rPr>
      </w:pPr>
    </w:p>
    <w:p w:rsidR="00801FFF" w:rsidRDefault="00801FFF" w:rsidP="00F618AE">
      <w:pPr>
        <w:tabs>
          <w:tab w:val="left" w:pos="1530"/>
        </w:tabs>
        <w:ind w:left="361" w:firstLine="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Pr="00B571D4">
        <w:rPr>
          <w:rFonts w:ascii="Times New Roman" w:hAnsi="Times New Roman" w:cs="Times New Roman"/>
          <w:color w:val="365F91"/>
          <w:sz w:val="24"/>
          <w:szCs w:val="24"/>
        </w:rPr>
        <w:t xml:space="preserve">non-firm Network Integration Transmission Service serving Load within the </w:t>
      </w:r>
    </w:p>
    <w:p w:rsidR="00F618AE" w:rsidRDefault="00801FFF" w:rsidP="00F618AE">
      <w:pPr>
        <w:tabs>
          <w:tab w:val="left" w:pos="1620"/>
        </w:tabs>
        <w:ind w:left="1620" w:hanging="1257"/>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F618AE">
        <w:rPr>
          <w:rFonts w:ascii="Times New Roman" w:hAnsi="Times New Roman" w:cs="Times New Roman"/>
          <w:color w:val="365F91"/>
          <w:sz w:val="24"/>
          <w:szCs w:val="24"/>
        </w:rPr>
        <w:t xml:space="preserve">         TSP’s</w:t>
      </w:r>
      <w:r w:rsidRPr="00B571D4">
        <w:rPr>
          <w:rFonts w:ascii="Times New Roman" w:hAnsi="Times New Roman" w:cs="Times New Roman"/>
          <w:color w:val="365F91"/>
          <w:sz w:val="24"/>
          <w:szCs w:val="24"/>
        </w:rPr>
        <w:t xml:space="preserve"> area (i.e., secondary service), to include load growth, and losses not </w:t>
      </w:r>
      <w:r w:rsidR="00F618AE">
        <w:rPr>
          <w:rFonts w:ascii="Times New Roman" w:hAnsi="Times New Roman" w:cs="Times New Roman"/>
          <w:color w:val="365F91"/>
          <w:sz w:val="24"/>
          <w:szCs w:val="24"/>
        </w:rPr>
        <w:t>otherwise included</w:t>
      </w:r>
    </w:p>
    <w:p w:rsidR="00801FFF" w:rsidRDefault="00F618AE" w:rsidP="00F618AE">
      <w:pPr>
        <w:tabs>
          <w:tab w:val="left" w:pos="1620"/>
        </w:tabs>
        <w:ind w:left="1620" w:hanging="1257"/>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801FFF" w:rsidRPr="00B571D4">
        <w:rPr>
          <w:rFonts w:ascii="Times New Roman" w:hAnsi="Times New Roman" w:cs="Times New Roman"/>
          <w:color w:val="365F91"/>
          <w:sz w:val="24"/>
          <w:szCs w:val="24"/>
        </w:rPr>
        <w:t xml:space="preserve">in </w:t>
      </w:r>
      <w:r>
        <w:rPr>
          <w:rFonts w:ascii="Times New Roman" w:hAnsi="Times New Roman" w:cs="Times New Roman"/>
          <w:color w:val="365F91"/>
          <w:sz w:val="24"/>
          <w:szCs w:val="24"/>
        </w:rPr>
        <w:t>TRM</w:t>
      </w:r>
      <w:r w:rsidR="00801FFF" w:rsidRPr="00B571D4">
        <w:rPr>
          <w:rFonts w:ascii="Times New Roman" w:hAnsi="Times New Roman" w:cs="Times New Roman"/>
          <w:color w:val="365F91"/>
          <w:sz w:val="24"/>
          <w:szCs w:val="24"/>
        </w:rPr>
        <w:t xml:space="preserve"> or </w:t>
      </w:r>
      <w:r>
        <w:rPr>
          <w:rFonts w:ascii="Times New Roman" w:hAnsi="Times New Roman" w:cs="Times New Roman"/>
          <w:color w:val="365F91"/>
          <w:sz w:val="24"/>
          <w:szCs w:val="24"/>
        </w:rPr>
        <w:t>CBM</w:t>
      </w:r>
    </w:p>
    <w:p w:rsidR="00801FFF" w:rsidRDefault="00801FFF" w:rsidP="00801FFF">
      <w:pPr>
        <w:ind w:left="360"/>
        <w:rPr>
          <w:rFonts w:ascii="Times New Roman" w:hAnsi="Times New Roman" w:cs="Times New Roman"/>
          <w:color w:val="365F91"/>
          <w:sz w:val="24"/>
          <w:szCs w:val="24"/>
        </w:rPr>
      </w:pPr>
    </w:p>
    <w:p w:rsidR="00801FFF" w:rsidRDefault="00801FFF" w:rsidP="003E21DF">
      <w:pPr>
        <w:ind w:left="1530" w:hanging="1168"/>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00F618AE">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Pr="00B571D4">
        <w:rPr>
          <w:rFonts w:ascii="Times New Roman" w:hAnsi="Times New Roman" w:cs="Times New Roman"/>
          <w:color w:val="365F91"/>
          <w:sz w:val="24"/>
          <w:szCs w:val="24"/>
        </w:rPr>
        <w:t>non-firm Network Integration Transmission Service serving</w:t>
      </w:r>
      <w:r>
        <w:rPr>
          <w:rFonts w:ascii="Times New Roman" w:hAnsi="Times New Roman" w:cs="Times New Roman"/>
          <w:color w:val="365F91"/>
          <w:sz w:val="24"/>
          <w:szCs w:val="24"/>
        </w:rPr>
        <w:t xml:space="preserve"> </w:t>
      </w:r>
      <w:r w:rsidRPr="00B571D4">
        <w:rPr>
          <w:rFonts w:ascii="Times New Roman" w:hAnsi="Times New Roman" w:cs="Times New Roman"/>
          <w:color w:val="365F91"/>
          <w:sz w:val="24"/>
          <w:szCs w:val="24"/>
        </w:rPr>
        <w:t xml:space="preserve">(secondary service) </w:t>
      </w:r>
      <w:r w:rsidR="00F618AE">
        <w:rPr>
          <w:rFonts w:ascii="Times New Roman" w:hAnsi="Times New Roman" w:cs="Times New Roman"/>
          <w:color w:val="365F91"/>
          <w:sz w:val="24"/>
          <w:szCs w:val="24"/>
        </w:rPr>
        <w:t>w</w:t>
      </w:r>
      <w:r w:rsidRPr="00B571D4">
        <w:rPr>
          <w:rFonts w:ascii="Times New Roman" w:hAnsi="Times New Roman" w:cs="Times New Roman"/>
          <w:color w:val="365F91"/>
          <w:sz w:val="24"/>
          <w:szCs w:val="24"/>
        </w:rPr>
        <w:t xml:space="preserve">ith a distribution factor equal to or greater than the percentage used to curtail in the </w:t>
      </w:r>
      <w:r>
        <w:rPr>
          <w:rFonts w:ascii="Times New Roman" w:hAnsi="Times New Roman" w:cs="Times New Roman"/>
          <w:color w:val="365F91"/>
          <w:sz w:val="24"/>
          <w:szCs w:val="24"/>
        </w:rPr>
        <w:t xml:space="preserve">           </w:t>
      </w:r>
      <w:r w:rsidRPr="00B571D4">
        <w:rPr>
          <w:rFonts w:ascii="Times New Roman" w:hAnsi="Times New Roman" w:cs="Times New Roman"/>
          <w:color w:val="365F91"/>
          <w:sz w:val="24"/>
          <w:szCs w:val="24"/>
        </w:rPr>
        <w:t xml:space="preserve">Interconnection-wide congestion management procedure used by the </w:t>
      </w:r>
      <w:r w:rsidR="00F618AE">
        <w:rPr>
          <w:rFonts w:ascii="Times New Roman" w:hAnsi="Times New Roman" w:cs="Times New Roman"/>
          <w:color w:val="365F91"/>
          <w:sz w:val="24"/>
          <w:szCs w:val="24"/>
        </w:rPr>
        <w:t>TSP</w:t>
      </w:r>
      <w:r w:rsidRPr="00B571D4">
        <w:rPr>
          <w:rFonts w:ascii="Times New Roman" w:hAnsi="Times New Roman" w:cs="Times New Roman"/>
          <w:color w:val="365F91"/>
          <w:sz w:val="24"/>
          <w:szCs w:val="24"/>
        </w:rPr>
        <w:t xml:space="preserve">, filtered to reduce or eliminate duplicate impacts from transactions using Transmission service from </w:t>
      </w:r>
      <w:r w:rsidR="003E21DF">
        <w:rPr>
          <w:rFonts w:ascii="Times New Roman" w:hAnsi="Times New Roman" w:cs="Times New Roman"/>
          <w:color w:val="365F91"/>
          <w:sz w:val="24"/>
          <w:szCs w:val="24"/>
        </w:rPr>
        <w:t>m</w:t>
      </w:r>
      <w:r w:rsidRPr="00B571D4">
        <w:rPr>
          <w:rFonts w:ascii="Times New Roman" w:hAnsi="Times New Roman" w:cs="Times New Roman"/>
          <w:color w:val="365F91"/>
          <w:sz w:val="24"/>
          <w:szCs w:val="24"/>
        </w:rPr>
        <w:t xml:space="preserve">ultiple </w:t>
      </w:r>
      <w:r w:rsidR="00F618AE">
        <w:rPr>
          <w:rFonts w:ascii="Times New Roman" w:hAnsi="Times New Roman" w:cs="Times New Roman"/>
          <w:color w:val="365F91"/>
          <w:sz w:val="24"/>
          <w:szCs w:val="24"/>
        </w:rPr>
        <w:t>TSPs</w:t>
      </w:r>
      <w:r w:rsidRPr="00B571D4">
        <w:rPr>
          <w:rFonts w:ascii="Times New Roman" w:hAnsi="Times New Roman" w:cs="Times New Roman"/>
          <w:color w:val="365F91"/>
          <w:sz w:val="24"/>
          <w:szCs w:val="24"/>
        </w:rPr>
        <w:t xml:space="preserve">, for all adjacent </w:t>
      </w:r>
      <w:r w:rsidR="00F618AE">
        <w:rPr>
          <w:rFonts w:ascii="Times New Roman" w:hAnsi="Times New Roman" w:cs="Times New Roman"/>
          <w:color w:val="365F91"/>
          <w:sz w:val="24"/>
          <w:szCs w:val="24"/>
        </w:rPr>
        <w:t>TSPs</w:t>
      </w:r>
      <w:r w:rsidRPr="00B571D4">
        <w:rPr>
          <w:rFonts w:ascii="Times New Roman" w:hAnsi="Times New Roman" w:cs="Times New Roman"/>
          <w:color w:val="365F91"/>
          <w:sz w:val="24"/>
          <w:szCs w:val="24"/>
        </w:rPr>
        <w:t xml:space="preserve"> and any other </w:t>
      </w:r>
      <w:r w:rsidR="00F618AE">
        <w:rPr>
          <w:rFonts w:ascii="Times New Roman" w:hAnsi="Times New Roman" w:cs="Times New Roman"/>
          <w:color w:val="365F91"/>
          <w:sz w:val="24"/>
          <w:szCs w:val="24"/>
        </w:rPr>
        <w:t xml:space="preserve">TSPs </w:t>
      </w:r>
      <w:r w:rsidRPr="00B571D4">
        <w:rPr>
          <w:rFonts w:ascii="Times New Roman" w:hAnsi="Times New Roman" w:cs="Times New Roman"/>
          <w:color w:val="365F91"/>
          <w:sz w:val="24"/>
          <w:szCs w:val="24"/>
        </w:rPr>
        <w:t>with which coordination agreements have been executed</w:t>
      </w:r>
    </w:p>
    <w:p w:rsidR="00801FFF" w:rsidRDefault="00801FFF" w:rsidP="00801FFF">
      <w:pPr>
        <w:ind w:left="360"/>
        <w:rPr>
          <w:rFonts w:ascii="Times New Roman" w:hAnsi="Times New Roman" w:cs="Times New Roman"/>
          <w:color w:val="365F91"/>
          <w:sz w:val="24"/>
          <w:szCs w:val="24"/>
        </w:rPr>
      </w:pPr>
    </w:p>
    <w:p w:rsidR="00801FFF" w:rsidRDefault="00801FFF" w:rsidP="003E21DF">
      <w:pPr>
        <w:tabs>
          <w:tab w:val="left" w:pos="1530"/>
        </w:tabs>
        <w:ind w:left="361" w:firstLine="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The impact of </w:t>
      </w:r>
      <w:r w:rsidR="003E21DF">
        <w:rPr>
          <w:rFonts w:ascii="Times New Roman" w:hAnsi="Times New Roman" w:cs="Times New Roman"/>
          <w:color w:val="365F91"/>
          <w:sz w:val="24"/>
          <w:szCs w:val="24"/>
        </w:rPr>
        <w:t xml:space="preserve">other </w:t>
      </w:r>
      <w:r w:rsidRPr="00B571D4">
        <w:rPr>
          <w:rFonts w:ascii="Times New Roman" w:hAnsi="Times New Roman" w:cs="Times New Roman"/>
          <w:color w:val="365F91"/>
          <w:sz w:val="24"/>
          <w:szCs w:val="24"/>
        </w:rPr>
        <w:t>non-firm</w:t>
      </w:r>
      <w:r w:rsidR="003E21DF">
        <w:rPr>
          <w:rFonts w:ascii="Times New Roman" w:hAnsi="Times New Roman" w:cs="Times New Roman"/>
          <w:color w:val="365F91"/>
          <w:sz w:val="24"/>
          <w:szCs w:val="24"/>
        </w:rPr>
        <w:t xml:space="preserve"> services</w:t>
      </w:r>
      <w:r>
        <w:rPr>
          <w:rFonts w:ascii="Times New Roman" w:hAnsi="Times New Roman" w:cs="Times New Roman"/>
          <w:color w:val="365F91"/>
          <w:sz w:val="24"/>
          <w:szCs w:val="24"/>
        </w:rPr>
        <w:t xml:space="preserve"> </w:t>
      </w:r>
      <w:r w:rsidRPr="00B571D4">
        <w:rPr>
          <w:rFonts w:ascii="Times New Roman" w:hAnsi="Times New Roman" w:cs="Times New Roman"/>
          <w:color w:val="365F91"/>
          <w:sz w:val="24"/>
          <w:szCs w:val="24"/>
        </w:rPr>
        <w:t xml:space="preserve">determined by the </w:t>
      </w:r>
      <w:r w:rsidR="003E21DF">
        <w:rPr>
          <w:rFonts w:ascii="Times New Roman" w:hAnsi="Times New Roman" w:cs="Times New Roman"/>
          <w:color w:val="365F91"/>
          <w:sz w:val="24"/>
          <w:szCs w:val="24"/>
        </w:rPr>
        <w:t>TSP</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496A9C" w:rsidRDefault="00496A9C" w:rsidP="00A52681">
      <w:pPr>
        <w:pStyle w:val="Requirement"/>
        <w:numPr>
          <w:ilvl w:val="0"/>
          <w:numId w:val="0"/>
        </w:numPr>
        <w:tabs>
          <w:tab w:val="num" w:pos="936"/>
          <w:tab w:val="left" w:pos="2592"/>
        </w:tabs>
        <w:ind w:left="358"/>
        <w:rPr>
          <w:b/>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4"/>
        </w:numPr>
        <w:autoSpaceDE/>
        <w:autoSpaceDN/>
        <w:adjustRightInd/>
        <w:spacing w:after="120"/>
        <w:rPr>
          <w:rFonts w:ascii="Times New Roman" w:hAnsi="Times New Roman" w:cs="Times New Roman"/>
          <w:vanish/>
          <w:sz w:val="24"/>
          <w:szCs w:val="24"/>
        </w:rPr>
      </w:pPr>
    </w:p>
    <w:p w:rsidR="00DC1116" w:rsidRPr="004E71C2" w:rsidRDefault="00DC1116" w:rsidP="00DC1116">
      <w:pPr>
        <w:pStyle w:val="Requirement"/>
        <w:numPr>
          <w:ilvl w:val="0"/>
          <w:numId w:val="24"/>
        </w:numPr>
        <w:tabs>
          <w:tab w:val="clear" w:pos="3240"/>
        </w:tabs>
      </w:pPr>
      <w:r w:rsidRPr="00473018">
        <w:t xml:space="preserve">When calculating </w:t>
      </w:r>
      <w:r>
        <w:t>f</w:t>
      </w:r>
      <w:r w:rsidRPr="00473018">
        <w:t xml:space="preserve">irm </w:t>
      </w:r>
      <w:smartTag w:uri="urn:schemas-microsoft-com:office:smarttags" w:element="stockticker">
        <w:r w:rsidRPr="00473018">
          <w:t>AFC</w:t>
        </w:r>
      </w:smartTag>
      <w:r w:rsidRPr="00473018">
        <w:t xml:space="preserve"> </w:t>
      </w:r>
      <w:bookmarkStart w:id="4" w:name="OLE_LINK1"/>
      <w:bookmarkStart w:id="5" w:name="OLE_LINK2"/>
      <w:r w:rsidRPr="00473018">
        <w:t xml:space="preserve">for a </w:t>
      </w:r>
      <w:r>
        <w:t>Flowgate</w:t>
      </w:r>
      <w:r w:rsidRPr="00473018">
        <w:t xml:space="preserve"> for a specified period, the Transmission Service </w:t>
      </w:r>
      <w:r w:rsidRPr="004E71C2">
        <w:t xml:space="preserve">Provider shall use the following algorithm (subject to allocation processes described in the ATCID): </w:t>
      </w:r>
      <w:r w:rsidRPr="00DC1116">
        <w:rPr>
          <w:rFonts w:ascii="TimesNewRomanPSMT" w:hAnsi="TimesNewRomanPSMT" w:cs="TimesNewRomanPSMT"/>
        </w:rPr>
        <w:t>[</w:t>
      </w:r>
      <w:r w:rsidRPr="00DC1116">
        <w:rPr>
          <w:i/>
          <w:iCs/>
        </w:rPr>
        <w:t>Violation Risk Factor: To Be Determined</w:t>
      </w:r>
      <w:r w:rsidRPr="00DC1116">
        <w:rPr>
          <w:rFonts w:ascii="TimesNewRomanPSMT" w:hAnsi="TimesNewRomanPSMT" w:cs="TimesNewRomanPSMT"/>
        </w:rPr>
        <w:t>] [</w:t>
      </w:r>
      <w:r w:rsidRPr="00DC1116">
        <w:rPr>
          <w:i/>
          <w:iCs/>
        </w:rPr>
        <w:t>Time Horizon: Operations Planning</w:t>
      </w:r>
      <w:r w:rsidRPr="00DC1116">
        <w:rPr>
          <w:rFonts w:ascii="TimesNewRomanPSMT" w:hAnsi="TimesNewRomanPSMT" w:cs="TimesNewRomanPSMT"/>
        </w:rPr>
        <w:t>]</w:t>
      </w:r>
    </w:p>
    <w:p w:rsidR="00DC1116" w:rsidRPr="00473018" w:rsidRDefault="00DC1116" w:rsidP="00DC1116">
      <w:pPr>
        <w:pStyle w:val="Requirement"/>
        <w:numPr>
          <w:ilvl w:val="0"/>
          <w:numId w:val="0"/>
        </w:numPr>
        <w:tabs>
          <w:tab w:val="clear" w:pos="3240"/>
        </w:tabs>
        <w:ind w:left="1080"/>
        <w:jc w:val="center"/>
        <w:rPr>
          <w:vertAlign w:val="subscript"/>
        </w:rPr>
      </w:pPr>
      <w:r w:rsidRPr="00473018">
        <w:t>AFC</w:t>
      </w:r>
      <w:r w:rsidRPr="00473018">
        <w:rPr>
          <w:vertAlign w:val="subscript"/>
        </w:rPr>
        <w:t>F</w:t>
      </w:r>
      <w:r w:rsidRPr="00473018">
        <w:t xml:space="preserve"> = TFC – ETC</w:t>
      </w:r>
      <w:r w:rsidRPr="00473018">
        <w:rPr>
          <w:vertAlign w:val="subscript"/>
        </w:rPr>
        <w:t>Fi</w:t>
      </w:r>
      <w:r w:rsidRPr="00473018">
        <w:t xml:space="preserve"> – CBM</w:t>
      </w:r>
      <w:r w:rsidRPr="00473018">
        <w:rPr>
          <w:vertAlign w:val="subscript"/>
        </w:rPr>
        <w:t>i</w:t>
      </w:r>
      <w:r w:rsidRPr="00473018">
        <w:t xml:space="preserve"> – TRM</w:t>
      </w:r>
      <w:r w:rsidRPr="00473018">
        <w:rPr>
          <w:vertAlign w:val="subscript"/>
        </w:rPr>
        <w:t>i</w:t>
      </w:r>
      <w:r w:rsidRPr="00473018">
        <w:t xml:space="preserve"> + Postbacks</w:t>
      </w:r>
      <w:r w:rsidRPr="00473018">
        <w:rPr>
          <w:vertAlign w:val="subscript"/>
        </w:rPr>
        <w:t>Fi</w:t>
      </w:r>
      <w:r w:rsidRPr="00473018">
        <w:t xml:space="preserve"> + </w:t>
      </w:r>
      <w:r>
        <w:t>counterflow</w:t>
      </w:r>
      <w:r w:rsidRPr="00473018">
        <w:t>s</w:t>
      </w:r>
      <w:r w:rsidRPr="00473018">
        <w:rPr>
          <w:vertAlign w:val="subscript"/>
        </w:rPr>
        <w:t>Fi</w:t>
      </w:r>
    </w:p>
    <w:p w:rsidR="00DC1116" w:rsidRPr="00CB4FE5" w:rsidRDefault="00DC1116" w:rsidP="00DC1116">
      <w:pPr>
        <w:pStyle w:val="Requirement"/>
        <w:numPr>
          <w:ilvl w:val="0"/>
          <w:numId w:val="0"/>
        </w:numPr>
        <w:tabs>
          <w:tab w:val="clear" w:pos="3240"/>
        </w:tabs>
        <w:ind w:left="1080"/>
        <w:rPr>
          <w:b/>
        </w:rPr>
      </w:pPr>
      <w:r w:rsidRPr="00CB4FE5">
        <w:rPr>
          <w:b/>
        </w:rPr>
        <w:t>Where:</w:t>
      </w:r>
    </w:p>
    <w:p w:rsidR="00DC1116" w:rsidRDefault="00DC1116" w:rsidP="00DC1116">
      <w:pPr>
        <w:pStyle w:val="Requirement"/>
        <w:numPr>
          <w:ilvl w:val="0"/>
          <w:numId w:val="0"/>
        </w:numPr>
        <w:tabs>
          <w:tab w:val="clear" w:pos="3240"/>
        </w:tabs>
        <w:ind w:left="1440"/>
      </w:pPr>
      <w:r w:rsidRPr="00CB4FE5">
        <w:rPr>
          <w:b/>
        </w:rPr>
        <w:t>AFC</w:t>
      </w:r>
      <w:r w:rsidRPr="00CB4FE5">
        <w:rPr>
          <w:b/>
          <w:vertAlign w:val="subscript"/>
        </w:rPr>
        <w:t>F</w:t>
      </w:r>
      <w:r>
        <w:t xml:space="preserve"> is the firm Available Flowgate Capability for the Flowgate for that period.</w:t>
      </w:r>
    </w:p>
    <w:p w:rsidR="00DC1116" w:rsidRPr="00473018" w:rsidRDefault="00DC1116" w:rsidP="00DC1116">
      <w:pPr>
        <w:pStyle w:val="Requirement"/>
        <w:numPr>
          <w:ilvl w:val="0"/>
          <w:numId w:val="0"/>
        </w:numPr>
        <w:tabs>
          <w:tab w:val="clear" w:pos="3240"/>
        </w:tabs>
        <w:ind w:left="1440"/>
      </w:pPr>
      <w:r w:rsidRPr="00CB4FE5">
        <w:rPr>
          <w:b/>
        </w:rPr>
        <w:t>TFC</w:t>
      </w:r>
      <w:r>
        <w:t xml:space="preserve"> is the </w:t>
      </w:r>
      <w:r w:rsidRPr="00473018">
        <w:t xml:space="preserve">Total Flowgate Capability of the </w:t>
      </w:r>
      <w:r>
        <w:t>Flowgate.</w:t>
      </w:r>
    </w:p>
    <w:p w:rsidR="00DC1116" w:rsidRPr="00473018" w:rsidRDefault="00DC1116" w:rsidP="00DC1116">
      <w:pPr>
        <w:pStyle w:val="Requirement"/>
        <w:numPr>
          <w:ilvl w:val="0"/>
          <w:numId w:val="0"/>
        </w:numPr>
        <w:tabs>
          <w:tab w:val="clear" w:pos="3240"/>
        </w:tabs>
        <w:ind w:left="1440"/>
      </w:pPr>
      <w:r w:rsidRPr="00CB4FE5">
        <w:rPr>
          <w:b/>
        </w:rPr>
        <w:t>ETC</w:t>
      </w:r>
      <w:r w:rsidRPr="00CB4FE5">
        <w:rPr>
          <w:b/>
          <w:vertAlign w:val="subscript"/>
        </w:rPr>
        <w:t>Fi</w:t>
      </w:r>
      <w:r w:rsidRPr="00473018">
        <w:t xml:space="preserve"> is the sum of the impacts of </w:t>
      </w:r>
      <w:r>
        <w:t>e</w:t>
      </w:r>
      <w:r w:rsidRPr="00473018">
        <w:t xml:space="preserve">xisting </w:t>
      </w:r>
      <w:r>
        <w:t>f</w:t>
      </w:r>
      <w:r w:rsidRPr="00473018">
        <w:t xml:space="preserve">irm </w:t>
      </w:r>
      <w:r>
        <w:t>Transmission</w:t>
      </w:r>
      <w:r w:rsidRPr="00473018">
        <w:t xml:space="preserve"> </w:t>
      </w:r>
      <w:r>
        <w:t>c</w:t>
      </w:r>
      <w:r w:rsidRPr="00473018">
        <w:t xml:space="preserve">ommitments for the </w:t>
      </w:r>
      <w:r>
        <w:t>Flowgate</w:t>
      </w:r>
      <w:r w:rsidRPr="00473018">
        <w:t xml:space="preserve"> during that period</w:t>
      </w:r>
      <w:r>
        <w:t>.</w:t>
      </w:r>
    </w:p>
    <w:p w:rsidR="00DC1116" w:rsidRPr="00473018" w:rsidRDefault="00DC1116" w:rsidP="00DC1116">
      <w:pPr>
        <w:pStyle w:val="Requirement"/>
        <w:numPr>
          <w:ilvl w:val="0"/>
          <w:numId w:val="0"/>
        </w:numPr>
        <w:tabs>
          <w:tab w:val="clear" w:pos="3240"/>
        </w:tabs>
        <w:ind w:left="1440"/>
      </w:pPr>
      <w:r w:rsidRPr="00CB4FE5">
        <w:rPr>
          <w:b/>
        </w:rPr>
        <w:t>CBM</w:t>
      </w:r>
      <w:r w:rsidRPr="00CB4FE5">
        <w:rPr>
          <w:b/>
          <w:vertAlign w:val="subscript"/>
        </w:rPr>
        <w:t>i</w:t>
      </w:r>
      <w:r w:rsidRPr="00473018">
        <w:t xml:space="preserve"> is the impact of the Capacity Benefit Margin on the </w:t>
      </w:r>
      <w:r>
        <w:t>Flowgate</w:t>
      </w:r>
      <w:r w:rsidRPr="00473018">
        <w:t xml:space="preserve"> during that period</w:t>
      </w:r>
      <w:r>
        <w:t>.</w:t>
      </w:r>
    </w:p>
    <w:p w:rsidR="00DC1116" w:rsidRDefault="00DC1116" w:rsidP="00DC1116">
      <w:pPr>
        <w:pStyle w:val="Requirement"/>
        <w:numPr>
          <w:ilvl w:val="0"/>
          <w:numId w:val="0"/>
        </w:numPr>
        <w:tabs>
          <w:tab w:val="clear" w:pos="3240"/>
        </w:tabs>
        <w:ind w:left="1440"/>
      </w:pPr>
      <w:r w:rsidRPr="00CB4FE5">
        <w:rPr>
          <w:b/>
        </w:rPr>
        <w:t>TRM</w:t>
      </w:r>
      <w:r w:rsidRPr="00CB4FE5">
        <w:rPr>
          <w:b/>
        </w:rPr>
        <w:softHyphen/>
      </w:r>
      <w:r w:rsidRPr="00CB4FE5">
        <w:rPr>
          <w:b/>
          <w:vertAlign w:val="subscript"/>
        </w:rPr>
        <w:t>i</w:t>
      </w:r>
      <w:r w:rsidRPr="00473018">
        <w:t xml:space="preserve"> is the impact of the Transmission Reliability Margin on the </w:t>
      </w:r>
      <w:r>
        <w:t>Flowgate</w:t>
      </w:r>
      <w:r w:rsidRPr="00473018">
        <w:t xml:space="preserve"> during that period</w:t>
      </w:r>
      <w:r>
        <w:t xml:space="preserve">. </w:t>
      </w:r>
    </w:p>
    <w:p w:rsidR="00DC1116" w:rsidRDefault="00DC1116" w:rsidP="00DC1116">
      <w:pPr>
        <w:pStyle w:val="Requirement"/>
        <w:numPr>
          <w:ilvl w:val="0"/>
          <w:numId w:val="0"/>
        </w:numPr>
        <w:tabs>
          <w:tab w:val="clear" w:pos="3240"/>
        </w:tabs>
        <w:ind w:left="1440"/>
      </w:pPr>
      <w:r w:rsidRPr="00CB4FE5">
        <w:rPr>
          <w:b/>
        </w:rPr>
        <w:t>Postbacks</w:t>
      </w:r>
      <w:r w:rsidRPr="00CB4FE5">
        <w:rPr>
          <w:b/>
          <w:vertAlign w:val="subscript"/>
        </w:rPr>
        <w:t>F</w:t>
      </w:r>
      <w:r w:rsidRPr="00CB4FE5">
        <w:rPr>
          <w:b/>
          <w:vertAlign w:val="subscript"/>
        </w:rPr>
        <w:softHyphen/>
        <w:t>i</w:t>
      </w:r>
      <w:r w:rsidRPr="000757C4">
        <w:t xml:space="preserve"> </w:t>
      </w:r>
      <w:r>
        <w:t xml:space="preserve">are changes to firm </w:t>
      </w:r>
      <w:smartTag w:uri="urn:schemas-microsoft-com:office:smarttags" w:element="stockticker">
        <w:r>
          <w:t>AFC</w:t>
        </w:r>
      </w:smartTag>
      <w:r>
        <w:t xml:space="preserve"> due to a change in the use of Transmission Service for that period, as defined in Business Practices.</w:t>
      </w:r>
    </w:p>
    <w:p w:rsidR="00DC1116" w:rsidRPr="00DC12AE" w:rsidRDefault="00DC1116" w:rsidP="00DC1116">
      <w:pPr>
        <w:pStyle w:val="Requirement"/>
        <w:numPr>
          <w:ilvl w:val="0"/>
          <w:numId w:val="0"/>
        </w:numPr>
        <w:tabs>
          <w:tab w:val="clear" w:pos="3240"/>
        </w:tabs>
        <w:ind w:left="1440"/>
      </w:pPr>
      <w:r>
        <w:rPr>
          <w:b/>
        </w:rPr>
        <w:t>counterflow</w:t>
      </w:r>
      <w:r w:rsidRPr="00CB4FE5">
        <w:rPr>
          <w:b/>
        </w:rPr>
        <w:t>s</w:t>
      </w:r>
      <w:r w:rsidRPr="00CB4FE5">
        <w:rPr>
          <w:b/>
          <w:vertAlign w:val="subscript"/>
        </w:rPr>
        <w:t>Fi</w:t>
      </w:r>
      <w:r w:rsidRPr="000757C4">
        <w:t xml:space="preserve"> </w:t>
      </w:r>
      <w:r>
        <w:t xml:space="preserve">are adjustments to firm </w:t>
      </w:r>
      <w:smartTag w:uri="urn:schemas-microsoft-com:office:smarttags" w:element="stockticker">
        <w:r>
          <w:t>AFC</w:t>
        </w:r>
      </w:smartTag>
      <w:r>
        <w:t xml:space="preserve"> </w:t>
      </w:r>
      <w:r w:rsidRPr="0028198E">
        <w:t>as determined by the Transmiss</w:t>
      </w:r>
      <w:r>
        <w:t>ion Service Provider and</w:t>
      </w:r>
      <w:r w:rsidRPr="0028198E">
        <w:t xml:space="preserve"> </w:t>
      </w:r>
      <w:r>
        <w:t>specified</w:t>
      </w:r>
      <w:r w:rsidRPr="0028198E">
        <w:t xml:space="preserve"> in their ATCID.</w:t>
      </w:r>
      <w:r>
        <w:t xml:space="preserve"> </w:t>
      </w:r>
    </w:p>
    <w:bookmarkEnd w:id="4"/>
    <w:bookmarkEnd w:id="5"/>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R8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8342B8">
        <w:rPr>
          <w:rFonts w:ascii="Times New Roman" w:hAnsi="Times New Roman" w:cs="Times New Roman"/>
          <w:b/>
          <w:bCs/>
          <w:color w:val="003366"/>
          <w:sz w:val="24"/>
          <w:szCs w:val="24"/>
        </w:rPr>
        <w:t>8</w:t>
      </w:r>
    </w:p>
    <w:p w:rsidR="00A52681" w:rsidRPr="005E50A4" w:rsidRDefault="00A52681" w:rsidP="00A52681">
      <w:pPr>
        <w:rPr>
          <w:rFonts w:ascii="Times New Roman" w:hAnsi="Times New Roman" w:cs="Times New Roman"/>
          <w:color w:val="365F91"/>
          <w:sz w:val="24"/>
          <w:szCs w:val="24"/>
        </w:rPr>
      </w:pPr>
    </w:p>
    <w:p w:rsidR="00801FFF" w:rsidRDefault="00801FFF" w:rsidP="00801FFF">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following algorithm when </w:t>
      </w:r>
      <w:r w:rsidRPr="00B571D4">
        <w:rPr>
          <w:rFonts w:ascii="Times New Roman" w:hAnsi="Times New Roman" w:cs="Times New Roman"/>
          <w:color w:val="365F91"/>
          <w:sz w:val="24"/>
          <w:szCs w:val="24"/>
        </w:rPr>
        <w:t xml:space="preserve">calculating firm </w:t>
      </w:r>
      <w:smartTag w:uri="urn:schemas-microsoft-com:office:smarttags" w:element="stockticker">
        <w:r w:rsidRPr="00B571D4">
          <w:rPr>
            <w:rFonts w:ascii="Times New Roman" w:hAnsi="Times New Roman" w:cs="Times New Roman"/>
            <w:color w:val="365F91"/>
            <w:sz w:val="24"/>
            <w:szCs w:val="24"/>
          </w:rPr>
          <w:t>AFC</w:t>
        </w:r>
      </w:smartTag>
      <w:r w:rsidRPr="00B571D4">
        <w:rPr>
          <w:rFonts w:ascii="Times New Roman" w:hAnsi="Times New Roman" w:cs="Times New Roman"/>
          <w:color w:val="365F91"/>
          <w:sz w:val="24"/>
          <w:szCs w:val="24"/>
        </w:rPr>
        <w:t xml:space="preserve"> for a Flowgate</w:t>
      </w:r>
      <w:r>
        <w:rPr>
          <w:rFonts w:ascii="Times New Roman" w:hAnsi="Times New Roman" w:cs="Times New Roman"/>
          <w:color w:val="365F91"/>
          <w:sz w:val="24"/>
          <w:szCs w:val="24"/>
        </w:rPr>
        <w:t xml:space="preserve"> for a specified period:</w:t>
      </w:r>
      <w:r w:rsidRPr="005E50A4">
        <w:rPr>
          <w:rFonts w:ascii="Times New Roman" w:hAnsi="Times New Roman" w:cs="Times New Roman"/>
          <w:color w:val="365F91"/>
          <w:sz w:val="24"/>
          <w:szCs w:val="24"/>
        </w:rPr>
        <w:t xml:space="preserve">    </w:t>
      </w:r>
    </w:p>
    <w:p w:rsidR="000F4ACD" w:rsidRDefault="000F4ACD" w:rsidP="00801FFF">
      <w:pPr>
        <w:ind w:left="1530" w:hanging="451"/>
        <w:rPr>
          <w:rFonts w:ascii="Times New Roman" w:hAnsi="Times New Roman" w:cs="Times New Roman"/>
          <w:color w:val="365F91"/>
          <w:sz w:val="24"/>
          <w:szCs w:val="24"/>
        </w:rPr>
      </w:pPr>
    </w:p>
    <w:p w:rsidR="00801FFF" w:rsidRPr="000F4ACD" w:rsidRDefault="00801FFF" w:rsidP="00801FFF">
      <w:pPr>
        <w:pStyle w:val="Requirement"/>
        <w:numPr>
          <w:ilvl w:val="0"/>
          <w:numId w:val="0"/>
        </w:numPr>
        <w:ind w:left="720"/>
        <w:rPr>
          <w:color w:val="365F91"/>
          <w:vertAlign w:val="subscript"/>
        </w:rPr>
      </w:pPr>
      <w:r w:rsidRPr="005E50A4">
        <w:rPr>
          <w:color w:val="365F91"/>
        </w:rPr>
        <w:t xml:space="preserve">       </w:t>
      </w:r>
      <w:r w:rsidRPr="000F4ACD">
        <w:rPr>
          <w:color w:val="365F91"/>
        </w:rPr>
        <w:t>AFC</w:t>
      </w:r>
      <w:r w:rsidRPr="000F4ACD">
        <w:rPr>
          <w:color w:val="365F91"/>
          <w:vertAlign w:val="subscript"/>
        </w:rPr>
        <w:t>F</w:t>
      </w:r>
      <w:r w:rsidRPr="000F4ACD">
        <w:rPr>
          <w:color w:val="365F91"/>
        </w:rPr>
        <w:t xml:space="preserve"> = TFC – ETC</w:t>
      </w:r>
      <w:r w:rsidRPr="000F4ACD">
        <w:rPr>
          <w:color w:val="365F91"/>
          <w:vertAlign w:val="subscript"/>
        </w:rPr>
        <w:t>Fi</w:t>
      </w:r>
      <w:r w:rsidRPr="000F4ACD">
        <w:rPr>
          <w:color w:val="365F91"/>
        </w:rPr>
        <w:t xml:space="preserve"> – CBM</w:t>
      </w:r>
      <w:r w:rsidRPr="000F4ACD">
        <w:rPr>
          <w:color w:val="365F91"/>
          <w:vertAlign w:val="subscript"/>
        </w:rPr>
        <w:t>i</w:t>
      </w:r>
      <w:r w:rsidRPr="000F4ACD">
        <w:rPr>
          <w:color w:val="365F91"/>
        </w:rPr>
        <w:t>– TRM</w:t>
      </w:r>
      <w:r w:rsidRPr="000F4ACD">
        <w:rPr>
          <w:color w:val="365F91"/>
          <w:vertAlign w:val="subscript"/>
        </w:rPr>
        <w:t>i</w:t>
      </w:r>
      <w:r w:rsidRPr="000F4ACD">
        <w:rPr>
          <w:color w:val="365F91"/>
        </w:rPr>
        <w:t xml:space="preserve"> + Postbacks</w:t>
      </w:r>
      <w:r w:rsidRPr="000F4ACD">
        <w:rPr>
          <w:color w:val="365F91"/>
          <w:vertAlign w:val="subscript"/>
        </w:rPr>
        <w:t>Fi</w:t>
      </w:r>
      <w:r w:rsidRPr="000F4ACD">
        <w:rPr>
          <w:color w:val="365F91"/>
        </w:rPr>
        <w:t xml:space="preserve"> + counterflows</w:t>
      </w:r>
      <w:r w:rsidRPr="000F4ACD">
        <w:rPr>
          <w:color w:val="365F91"/>
          <w:vertAlign w:val="subscript"/>
        </w:rPr>
        <w:t>Fi</w:t>
      </w:r>
    </w:p>
    <w:p w:rsidR="00801FFF" w:rsidRDefault="00801FFF" w:rsidP="00801FFF">
      <w:pPr>
        <w:ind w:left="1530" w:hanging="451"/>
        <w:rPr>
          <w:rFonts w:ascii="Times New Roman" w:hAnsi="Times New Roman" w:cs="Times New Roman"/>
          <w:color w:val="365F91"/>
          <w:sz w:val="24"/>
          <w:szCs w:val="24"/>
        </w:rPr>
      </w:pP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Default="00A52681" w:rsidP="00A52681">
      <w:pPr>
        <w:widowControl w:val="0"/>
        <w:tabs>
          <w:tab w:val="left" w:pos="60"/>
        </w:tabs>
        <w:spacing w:line="200" w:lineRule="exact"/>
        <w:rPr>
          <w:rFonts w:ascii="Times New Roman" w:hAnsi="Times New Roman" w:cs="Times New Roman"/>
          <w:b/>
          <w:sz w:val="24"/>
          <w:szCs w:val="24"/>
        </w:rPr>
      </w:pPr>
    </w:p>
    <w:p w:rsidR="00FC5C33" w:rsidRDefault="00FC5C33" w:rsidP="00A52681">
      <w:pPr>
        <w:widowControl w:val="0"/>
        <w:tabs>
          <w:tab w:val="left" w:pos="60"/>
        </w:tabs>
        <w:spacing w:line="200" w:lineRule="exact"/>
        <w:rPr>
          <w:rFonts w:ascii="Times New Roman" w:hAnsi="Times New Roman" w:cs="Times New Roman"/>
          <w:b/>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5"/>
        </w:numPr>
        <w:autoSpaceDE/>
        <w:autoSpaceDN/>
        <w:adjustRightInd/>
        <w:spacing w:after="120"/>
        <w:rPr>
          <w:rFonts w:ascii="Times New Roman" w:hAnsi="Times New Roman" w:cs="Times New Roman"/>
          <w:vanish/>
          <w:sz w:val="24"/>
          <w:szCs w:val="24"/>
        </w:rPr>
      </w:pPr>
    </w:p>
    <w:p w:rsidR="00DC1116" w:rsidRPr="004E71C2" w:rsidRDefault="00DC1116" w:rsidP="00DC1116">
      <w:pPr>
        <w:pStyle w:val="Requirement"/>
        <w:numPr>
          <w:ilvl w:val="0"/>
          <w:numId w:val="25"/>
        </w:numPr>
        <w:tabs>
          <w:tab w:val="clear" w:pos="3240"/>
        </w:tabs>
      </w:pPr>
      <w:r>
        <w:t xml:space="preserve">When calculating non-firm AFC for a Flowgate for a specified period, the Transmission Service Provider shall use the following algorithm (subject to allocation processes described </w:t>
      </w:r>
      <w:r w:rsidRPr="004E71C2">
        <w:t xml:space="preserve">in the ATCID): </w:t>
      </w:r>
      <w:r w:rsidRPr="00DC1116">
        <w:rPr>
          <w:rFonts w:ascii="TimesNewRomanPSMT" w:hAnsi="TimesNewRomanPSMT" w:cs="TimesNewRomanPSMT"/>
        </w:rPr>
        <w:t>[</w:t>
      </w:r>
      <w:r w:rsidRPr="00DC1116">
        <w:rPr>
          <w:i/>
          <w:iCs/>
        </w:rPr>
        <w:t>Violation Risk Factor: To Be Determined</w:t>
      </w:r>
      <w:r w:rsidRPr="00DC1116">
        <w:rPr>
          <w:rFonts w:ascii="TimesNewRomanPSMT" w:hAnsi="TimesNewRomanPSMT" w:cs="TimesNewRomanPSMT"/>
        </w:rPr>
        <w:t>] [</w:t>
      </w:r>
      <w:r w:rsidRPr="00DC1116">
        <w:rPr>
          <w:i/>
          <w:iCs/>
        </w:rPr>
        <w:t>Time Horizon: Operations Planning</w:t>
      </w:r>
      <w:r w:rsidRPr="00DC1116">
        <w:rPr>
          <w:rFonts w:ascii="TimesNewRomanPSMT" w:hAnsi="TimesNewRomanPSMT" w:cs="TimesNewRomanPSMT"/>
        </w:rPr>
        <w:t>]</w:t>
      </w:r>
    </w:p>
    <w:p w:rsidR="00DC1116" w:rsidRPr="006151D8" w:rsidRDefault="00DC1116" w:rsidP="00DC1116">
      <w:pPr>
        <w:pStyle w:val="Requirement"/>
        <w:numPr>
          <w:ilvl w:val="0"/>
          <w:numId w:val="0"/>
        </w:numPr>
        <w:tabs>
          <w:tab w:val="clear" w:pos="3240"/>
        </w:tabs>
        <w:ind w:left="1080"/>
        <w:jc w:val="center"/>
        <w:rPr>
          <w:vertAlign w:val="subscript"/>
        </w:rPr>
      </w:pPr>
      <w:r>
        <w:t>AFC</w:t>
      </w:r>
      <w:r>
        <w:rPr>
          <w:vertAlign w:val="subscript"/>
        </w:rPr>
        <w:t>NF</w:t>
      </w:r>
      <w:r>
        <w:t xml:space="preserve"> = TFC – ETC</w:t>
      </w:r>
      <w:r>
        <w:rPr>
          <w:vertAlign w:val="subscript"/>
        </w:rPr>
        <w:t>Fi</w:t>
      </w:r>
      <w:r>
        <w:t xml:space="preserve"> – ETC</w:t>
      </w:r>
      <w:r>
        <w:rPr>
          <w:vertAlign w:val="subscript"/>
        </w:rPr>
        <w:t>NFi</w:t>
      </w:r>
      <w:r>
        <w:t xml:space="preserve"> – CBM</w:t>
      </w:r>
      <w:r>
        <w:rPr>
          <w:vertAlign w:val="subscript"/>
        </w:rPr>
        <w:t>Si</w:t>
      </w:r>
      <w:r>
        <w:t xml:space="preserve"> – TRM</w:t>
      </w:r>
      <w:r>
        <w:rPr>
          <w:vertAlign w:val="subscript"/>
        </w:rPr>
        <w:t>Ui</w:t>
      </w:r>
      <w:r>
        <w:t xml:space="preserve"> + Postbacks</w:t>
      </w:r>
      <w:r>
        <w:rPr>
          <w:vertAlign w:val="subscript"/>
        </w:rPr>
        <w:t>NFi</w:t>
      </w:r>
      <w:r>
        <w:t xml:space="preserve"> + counterflows</w:t>
      </w:r>
    </w:p>
    <w:p w:rsidR="00DC1116" w:rsidRPr="00CB4FE5" w:rsidRDefault="00DC1116" w:rsidP="00DC1116">
      <w:pPr>
        <w:pStyle w:val="Requirement"/>
        <w:numPr>
          <w:ilvl w:val="0"/>
          <w:numId w:val="0"/>
        </w:numPr>
        <w:tabs>
          <w:tab w:val="clear" w:pos="3240"/>
        </w:tabs>
        <w:ind w:left="1080"/>
        <w:rPr>
          <w:b/>
        </w:rPr>
      </w:pPr>
      <w:r w:rsidRPr="00CB4FE5">
        <w:rPr>
          <w:b/>
        </w:rPr>
        <w:t>Where:</w:t>
      </w:r>
    </w:p>
    <w:p w:rsidR="00DC1116" w:rsidRDefault="00DC1116" w:rsidP="00DC1116">
      <w:pPr>
        <w:pStyle w:val="Requirement"/>
        <w:numPr>
          <w:ilvl w:val="0"/>
          <w:numId w:val="0"/>
        </w:numPr>
        <w:tabs>
          <w:tab w:val="clear" w:pos="3240"/>
        </w:tabs>
        <w:ind w:left="1440"/>
      </w:pPr>
      <w:r w:rsidRPr="00CB4FE5">
        <w:rPr>
          <w:b/>
        </w:rPr>
        <w:t>A</w:t>
      </w:r>
      <w:r>
        <w:rPr>
          <w:b/>
        </w:rPr>
        <w:t>F</w:t>
      </w:r>
      <w:r w:rsidRPr="00CB4FE5">
        <w:rPr>
          <w:b/>
        </w:rPr>
        <w:t>C</w:t>
      </w:r>
      <w:r w:rsidRPr="00CB4FE5">
        <w:rPr>
          <w:b/>
          <w:vertAlign w:val="subscript"/>
        </w:rPr>
        <w:t>NF</w:t>
      </w:r>
      <w:r>
        <w:t xml:space="preserve"> is the non-firm Available Flowgate Capability for the Flowgate for that period.</w:t>
      </w:r>
    </w:p>
    <w:p w:rsidR="00DC1116" w:rsidRDefault="00DC1116" w:rsidP="00DC1116">
      <w:pPr>
        <w:pStyle w:val="Requirement"/>
        <w:numPr>
          <w:ilvl w:val="0"/>
          <w:numId w:val="0"/>
        </w:numPr>
        <w:tabs>
          <w:tab w:val="clear" w:pos="3240"/>
        </w:tabs>
        <w:ind w:left="1440"/>
      </w:pPr>
      <w:r w:rsidRPr="00CB4FE5">
        <w:rPr>
          <w:b/>
        </w:rPr>
        <w:t>TFC</w:t>
      </w:r>
      <w:r>
        <w:t xml:space="preserve"> is the Total Flowgate Capability of the Flowgate.</w:t>
      </w:r>
    </w:p>
    <w:p w:rsidR="00DC1116" w:rsidRPr="00473018" w:rsidRDefault="00DC1116" w:rsidP="00DC1116">
      <w:pPr>
        <w:pStyle w:val="Requirement"/>
        <w:numPr>
          <w:ilvl w:val="0"/>
          <w:numId w:val="0"/>
        </w:numPr>
        <w:tabs>
          <w:tab w:val="clear" w:pos="3240"/>
        </w:tabs>
        <w:ind w:left="1440"/>
      </w:pPr>
      <w:r w:rsidRPr="00CB4FE5">
        <w:rPr>
          <w:b/>
        </w:rPr>
        <w:t>ETC</w:t>
      </w:r>
      <w:r w:rsidRPr="00CB4FE5">
        <w:rPr>
          <w:b/>
          <w:vertAlign w:val="subscript"/>
        </w:rPr>
        <w:t>Fi</w:t>
      </w:r>
      <w:r w:rsidRPr="00473018">
        <w:t xml:space="preserve"> is the sum of </w:t>
      </w:r>
      <w:r>
        <w:t>the impacts of</w:t>
      </w:r>
      <w:r w:rsidRPr="00473018">
        <w:t xml:space="preserve"> </w:t>
      </w:r>
      <w:r>
        <w:t>e</w:t>
      </w:r>
      <w:r w:rsidRPr="00473018">
        <w:t xml:space="preserve">xisting </w:t>
      </w:r>
      <w:r>
        <w:t>f</w:t>
      </w:r>
      <w:r w:rsidRPr="00473018">
        <w:t xml:space="preserve">irm </w:t>
      </w:r>
      <w:r>
        <w:t>Transmission</w:t>
      </w:r>
      <w:r w:rsidRPr="00473018">
        <w:t xml:space="preserve"> </w:t>
      </w:r>
      <w:r>
        <w:t>c</w:t>
      </w:r>
      <w:r w:rsidRPr="00473018">
        <w:t xml:space="preserve">ommitments for the </w:t>
      </w:r>
      <w:r>
        <w:t>Flowgate</w:t>
      </w:r>
      <w:r w:rsidRPr="00473018">
        <w:t xml:space="preserve"> during that period</w:t>
      </w:r>
      <w:r>
        <w:t>.</w:t>
      </w:r>
    </w:p>
    <w:p w:rsidR="00DC1116" w:rsidRDefault="00DC1116" w:rsidP="00DC1116">
      <w:pPr>
        <w:pStyle w:val="Requirement"/>
        <w:numPr>
          <w:ilvl w:val="0"/>
          <w:numId w:val="0"/>
        </w:numPr>
        <w:tabs>
          <w:tab w:val="clear" w:pos="3240"/>
        </w:tabs>
        <w:ind w:left="1440"/>
      </w:pPr>
      <w:r w:rsidRPr="00CB4FE5">
        <w:rPr>
          <w:b/>
        </w:rPr>
        <w:t>ETC</w:t>
      </w:r>
      <w:r w:rsidRPr="00CB4FE5">
        <w:rPr>
          <w:b/>
          <w:vertAlign w:val="subscript"/>
        </w:rPr>
        <w:t>NFi</w:t>
      </w:r>
      <w:r>
        <w:t xml:space="preserve"> </w:t>
      </w:r>
      <w:r w:rsidRPr="00473018">
        <w:t xml:space="preserve">is the sum of </w:t>
      </w:r>
      <w:r>
        <w:t>the impacts of</w:t>
      </w:r>
      <w:r w:rsidRPr="00473018">
        <w:t xml:space="preserve"> </w:t>
      </w:r>
      <w:r>
        <w:t>e</w:t>
      </w:r>
      <w:r w:rsidRPr="00473018">
        <w:t xml:space="preserve">xisting </w:t>
      </w:r>
      <w:r>
        <w:t>non-f</w:t>
      </w:r>
      <w:r w:rsidRPr="00473018">
        <w:t xml:space="preserve">irm </w:t>
      </w:r>
      <w:r>
        <w:t>Transmission</w:t>
      </w:r>
      <w:r w:rsidRPr="00473018">
        <w:t xml:space="preserve"> </w:t>
      </w:r>
      <w:r>
        <w:t>c</w:t>
      </w:r>
      <w:r w:rsidRPr="00473018">
        <w:t xml:space="preserve">ommitments for the </w:t>
      </w:r>
      <w:r>
        <w:t>Flowgate</w:t>
      </w:r>
      <w:r w:rsidRPr="00473018">
        <w:t xml:space="preserve"> during that period</w:t>
      </w:r>
      <w:r>
        <w:t>.</w:t>
      </w:r>
    </w:p>
    <w:p w:rsidR="00DC1116" w:rsidRDefault="00DC1116" w:rsidP="00DC1116">
      <w:pPr>
        <w:pStyle w:val="Requirement"/>
        <w:numPr>
          <w:ilvl w:val="0"/>
          <w:numId w:val="0"/>
        </w:numPr>
        <w:tabs>
          <w:tab w:val="clear" w:pos="3240"/>
        </w:tabs>
        <w:ind w:left="1440"/>
      </w:pPr>
      <w:r w:rsidRPr="00CB4FE5">
        <w:rPr>
          <w:b/>
        </w:rPr>
        <w:t>CBM</w:t>
      </w:r>
      <w:r w:rsidRPr="00CB4FE5">
        <w:rPr>
          <w:b/>
          <w:vertAlign w:val="subscript"/>
        </w:rPr>
        <w:t>Si</w:t>
      </w:r>
      <w:r w:rsidRPr="00CB4FE5">
        <w:rPr>
          <w:b/>
        </w:rPr>
        <w:t xml:space="preserve"> </w:t>
      </w:r>
      <w:r>
        <w:t>is the impact of any schedules during that period using Capacity Benefit Margin.</w:t>
      </w:r>
    </w:p>
    <w:p w:rsidR="00DC1116" w:rsidRDefault="00DC1116" w:rsidP="00DC1116">
      <w:pPr>
        <w:pStyle w:val="Requirement"/>
        <w:numPr>
          <w:ilvl w:val="0"/>
          <w:numId w:val="0"/>
        </w:numPr>
        <w:tabs>
          <w:tab w:val="clear" w:pos="3240"/>
        </w:tabs>
        <w:ind w:left="1440"/>
      </w:pPr>
      <w:r w:rsidRPr="00CB4FE5">
        <w:rPr>
          <w:b/>
        </w:rPr>
        <w:t>TRM</w:t>
      </w:r>
      <w:r w:rsidRPr="00CB4FE5">
        <w:rPr>
          <w:b/>
          <w:vertAlign w:val="subscript"/>
        </w:rPr>
        <w:t>Ui</w:t>
      </w:r>
      <w:r w:rsidRPr="00CB4FE5">
        <w:rPr>
          <w:b/>
        </w:rPr>
        <w:t xml:space="preserve"> </w:t>
      </w:r>
      <w:r>
        <w:t xml:space="preserve">is the </w:t>
      </w:r>
      <w:r w:rsidRPr="00473018">
        <w:t xml:space="preserve">impact on the </w:t>
      </w:r>
      <w:r>
        <w:t>Flowgate</w:t>
      </w:r>
      <w:r w:rsidRPr="00473018">
        <w:t xml:space="preserve"> of the Transmission Reliability Margin that has not been released </w:t>
      </w:r>
      <w:r>
        <w:t xml:space="preserve">(unreleased) </w:t>
      </w:r>
      <w:r w:rsidRPr="00473018">
        <w:t>for sale as non-firm capacity by the Transmission Service Provider during that period</w:t>
      </w:r>
      <w:r>
        <w:t xml:space="preserve">. </w:t>
      </w:r>
    </w:p>
    <w:p w:rsidR="00DC1116" w:rsidRDefault="00DC1116" w:rsidP="00DC1116">
      <w:pPr>
        <w:pStyle w:val="Requirement"/>
        <w:numPr>
          <w:ilvl w:val="0"/>
          <w:numId w:val="0"/>
        </w:numPr>
        <w:tabs>
          <w:tab w:val="clear" w:pos="3240"/>
        </w:tabs>
        <w:ind w:left="1440"/>
      </w:pPr>
      <w:r w:rsidRPr="00CB4FE5">
        <w:rPr>
          <w:b/>
        </w:rPr>
        <w:t>Postbacks</w:t>
      </w:r>
      <w:r w:rsidRPr="00CB4FE5">
        <w:rPr>
          <w:b/>
          <w:vertAlign w:val="subscript"/>
        </w:rPr>
        <w:t>NF</w:t>
      </w:r>
      <w:r>
        <w:rPr>
          <w:vertAlign w:val="subscript"/>
        </w:rPr>
        <w:softHyphen/>
      </w:r>
      <w:r>
        <w:t xml:space="preserve"> are changes to non-firm Available Flowgate Capability due to a change in the use of Transmission Service for that period, as defined in Business Practices.</w:t>
      </w:r>
    </w:p>
    <w:p w:rsidR="00DC1116" w:rsidRDefault="00DC1116" w:rsidP="00DC1116">
      <w:pPr>
        <w:pStyle w:val="Requirement"/>
        <w:numPr>
          <w:ilvl w:val="0"/>
          <w:numId w:val="0"/>
        </w:numPr>
        <w:tabs>
          <w:tab w:val="clear" w:pos="3240"/>
        </w:tabs>
        <w:ind w:left="1440"/>
      </w:pPr>
      <w:r>
        <w:rPr>
          <w:b/>
        </w:rPr>
        <w:t>counterflow</w:t>
      </w:r>
      <w:r w:rsidRPr="00CB4FE5">
        <w:rPr>
          <w:b/>
        </w:rPr>
        <w:t>s</w:t>
      </w:r>
      <w:r w:rsidRPr="00CB4FE5">
        <w:rPr>
          <w:b/>
          <w:vertAlign w:val="subscript"/>
        </w:rPr>
        <w:t>NF</w:t>
      </w:r>
      <w:r>
        <w:rPr>
          <w:vertAlign w:val="subscript"/>
        </w:rPr>
        <w:t xml:space="preserve"> </w:t>
      </w:r>
      <w:r>
        <w:t xml:space="preserve">are adjustments to non-firm </w:t>
      </w:r>
      <w:smartTag w:uri="urn:schemas-microsoft-com:office:smarttags" w:element="stockticker">
        <w:r>
          <w:t>AFC</w:t>
        </w:r>
      </w:smartTag>
      <w:r>
        <w:t xml:space="preserve"> </w:t>
      </w:r>
      <w:r w:rsidRPr="0028198E">
        <w:t xml:space="preserve">as determined by the Transmission Service Provider </w:t>
      </w:r>
      <w:r>
        <w:t>and specified</w:t>
      </w:r>
      <w:r w:rsidRPr="0028198E">
        <w:t xml:space="preserve"> in their ATCID</w:t>
      </w:r>
      <w:r>
        <w:t>.</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7D2FD5" w:rsidRDefault="007D2FD5" w:rsidP="007D2FD5">
      <w:pPr>
        <w:pStyle w:val="Heading1"/>
        <w:rPr>
          <w:color w:val="365F91"/>
          <w:sz w:val="24"/>
          <w:szCs w:val="24"/>
        </w:rPr>
      </w:pPr>
    </w:p>
    <w:p w:rsidR="007D2FD5" w:rsidRPr="009901B0" w:rsidRDefault="007D2FD5" w:rsidP="009901B0">
      <w:pPr>
        <w:pStyle w:val="Heading1"/>
      </w:pPr>
      <w:r w:rsidRPr="009901B0">
        <w:t>R9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A52681" w:rsidRDefault="00A52681" w:rsidP="00F250BD">
      <w:pPr>
        <w:pStyle w:val="Heading1"/>
      </w:pPr>
    </w:p>
    <w:p w:rsidR="00ED17DD" w:rsidRDefault="00ED17DD" w:rsidP="00ED17DD">
      <w:pPr>
        <w:widowControl w:val="0"/>
        <w:tabs>
          <w:tab w:val="left" w:pos="900"/>
          <w:tab w:val="left" w:pos="6360"/>
        </w:tabs>
        <w:spacing w:line="294" w:lineRule="exact"/>
      </w:pPr>
      <w:r w:rsidRPr="001F467C">
        <w:rPr>
          <w:rFonts w:ascii="Times New Roman" w:hAnsi="Times New Roman" w:cs="Times New Roman"/>
          <w:b/>
          <w:i/>
          <w:iCs/>
          <w:color w:val="C00000"/>
          <w:sz w:val="24"/>
          <w:szCs w:val="24"/>
        </w:rPr>
        <w:t>This section must be completed by the Compliance Enforcement Authority.</w:t>
      </w:r>
    </w:p>
    <w:p w:rsidR="00FC5C33" w:rsidRDefault="00FC5C33" w:rsidP="00ED17DD">
      <w:pPr>
        <w:widowControl w:val="0"/>
        <w:tabs>
          <w:tab w:val="left" w:pos="60"/>
        </w:tabs>
        <w:spacing w:line="294" w:lineRule="exact"/>
        <w:rPr>
          <w:rFonts w:ascii="Times New Roman" w:hAnsi="Times New Roman" w:cs="Times New Roman"/>
          <w:b/>
          <w:bCs/>
          <w:color w:val="003366"/>
          <w:sz w:val="24"/>
          <w:szCs w:val="24"/>
        </w:rPr>
      </w:pPr>
    </w:p>
    <w:p w:rsidR="00ED17DD" w:rsidRPr="001F467C" w:rsidRDefault="00ED17DD" w:rsidP="00ED17DD">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ssment Approach Specific to MOD-030-2 R9</w:t>
      </w:r>
    </w:p>
    <w:p w:rsidR="00ED17DD" w:rsidRPr="005E50A4" w:rsidRDefault="00ED17DD" w:rsidP="00ED17DD">
      <w:pPr>
        <w:rPr>
          <w:rFonts w:ascii="Times New Roman" w:hAnsi="Times New Roman" w:cs="Times New Roman"/>
          <w:color w:val="365F91"/>
          <w:sz w:val="24"/>
          <w:szCs w:val="24"/>
        </w:rPr>
      </w:pPr>
    </w:p>
    <w:p w:rsidR="00ED17DD" w:rsidRDefault="00ED17DD" w:rsidP="00ED17DD">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Verify the TSP used the following algorithm when </w:t>
      </w:r>
      <w:r w:rsidRPr="00B571D4">
        <w:rPr>
          <w:rFonts w:ascii="Times New Roman" w:hAnsi="Times New Roman" w:cs="Times New Roman"/>
          <w:color w:val="365F91"/>
          <w:sz w:val="24"/>
          <w:szCs w:val="24"/>
        </w:rPr>
        <w:t>calculating</w:t>
      </w:r>
      <w:r>
        <w:rPr>
          <w:rFonts w:ascii="Times New Roman" w:hAnsi="Times New Roman" w:cs="Times New Roman"/>
          <w:color w:val="365F91"/>
          <w:sz w:val="24"/>
          <w:szCs w:val="24"/>
        </w:rPr>
        <w:t xml:space="preserve"> non-</w:t>
      </w:r>
      <w:r w:rsidRPr="00B571D4">
        <w:rPr>
          <w:rFonts w:ascii="Times New Roman" w:hAnsi="Times New Roman" w:cs="Times New Roman"/>
          <w:color w:val="365F91"/>
          <w:sz w:val="24"/>
          <w:szCs w:val="24"/>
        </w:rPr>
        <w:t xml:space="preserve">firm </w:t>
      </w:r>
      <w:smartTag w:uri="urn:schemas-microsoft-com:office:smarttags" w:element="stockticker">
        <w:r w:rsidRPr="00B571D4">
          <w:rPr>
            <w:rFonts w:ascii="Times New Roman" w:hAnsi="Times New Roman" w:cs="Times New Roman"/>
            <w:color w:val="365F91"/>
            <w:sz w:val="24"/>
            <w:szCs w:val="24"/>
          </w:rPr>
          <w:t>AFC</w:t>
        </w:r>
      </w:smartTag>
      <w:r w:rsidRPr="00B571D4">
        <w:rPr>
          <w:rFonts w:ascii="Times New Roman" w:hAnsi="Times New Roman" w:cs="Times New Roman"/>
          <w:color w:val="365F91"/>
          <w:sz w:val="24"/>
          <w:szCs w:val="24"/>
        </w:rPr>
        <w:t xml:space="preserve"> for a Flowgate</w:t>
      </w:r>
      <w:r>
        <w:rPr>
          <w:rFonts w:ascii="Times New Roman" w:hAnsi="Times New Roman" w:cs="Times New Roman"/>
          <w:color w:val="365F91"/>
          <w:sz w:val="24"/>
          <w:szCs w:val="24"/>
        </w:rPr>
        <w:t xml:space="preserve"> for a specified period:</w:t>
      </w:r>
      <w:r w:rsidRPr="005E50A4">
        <w:rPr>
          <w:rFonts w:ascii="Times New Roman" w:hAnsi="Times New Roman" w:cs="Times New Roman"/>
          <w:color w:val="365F91"/>
          <w:sz w:val="24"/>
          <w:szCs w:val="24"/>
        </w:rPr>
        <w:t xml:space="preserve">           </w:t>
      </w:r>
    </w:p>
    <w:p w:rsidR="00ED17DD" w:rsidRDefault="00ED17DD" w:rsidP="00ED17DD">
      <w:pPr>
        <w:pStyle w:val="Requirement"/>
        <w:numPr>
          <w:ilvl w:val="0"/>
          <w:numId w:val="0"/>
        </w:numPr>
        <w:ind w:left="720"/>
      </w:pPr>
      <w:r>
        <w:tab/>
        <w:t xml:space="preserve">                                   </w:t>
      </w:r>
    </w:p>
    <w:p w:rsidR="00797E28" w:rsidRPr="00797E28" w:rsidRDefault="00ED17DD" w:rsidP="00797E28">
      <w:pPr>
        <w:pStyle w:val="Requirement"/>
        <w:numPr>
          <w:ilvl w:val="0"/>
          <w:numId w:val="0"/>
        </w:numPr>
        <w:tabs>
          <w:tab w:val="clear" w:pos="3240"/>
        </w:tabs>
        <w:ind w:left="720" w:hanging="720"/>
        <w:rPr>
          <w:color w:val="365F91"/>
          <w:vertAlign w:val="subscript"/>
        </w:rPr>
      </w:pPr>
      <w:r>
        <w:t xml:space="preserve"> </w:t>
      </w:r>
      <w:r w:rsidR="00797E28">
        <w:tab/>
      </w:r>
      <w:r w:rsidRPr="00B571D4">
        <w:t xml:space="preserve"> </w:t>
      </w:r>
      <w:r w:rsidR="00797E28" w:rsidRPr="00797E28">
        <w:rPr>
          <w:color w:val="365F91"/>
        </w:rPr>
        <w:t>AFC</w:t>
      </w:r>
      <w:r w:rsidR="00797E28" w:rsidRPr="00797E28">
        <w:rPr>
          <w:color w:val="365F91"/>
          <w:vertAlign w:val="subscript"/>
        </w:rPr>
        <w:t>NF</w:t>
      </w:r>
      <w:r w:rsidR="00797E28" w:rsidRPr="00797E28">
        <w:rPr>
          <w:color w:val="365F91"/>
        </w:rPr>
        <w:t xml:space="preserve"> = TFC – ETC</w:t>
      </w:r>
      <w:r w:rsidR="00797E28" w:rsidRPr="00797E28">
        <w:rPr>
          <w:color w:val="365F91"/>
          <w:vertAlign w:val="subscript"/>
        </w:rPr>
        <w:t>Fi</w:t>
      </w:r>
      <w:r w:rsidR="00797E28" w:rsidRPr="00797E28">
        <w:rPr>
          <w:color w:val="365F91"/>
        </w:rPr>
        <w:t xml:space="preserve"> – ETC</w:t>
      </w:r>
      <w:r w:rsidR="00797E28" w:rsidRPr="00797E28">
        <w:rPr>
          <w:color w:val="365F91"/>
          <w:vertAlign w:val="subscript"/>
        </w:rPr>
        <w:t>NFi</w:t>
      </w:r>
      <w:r w:rsidR="00797E28" w:rsidRPr="00797E28">
        <w:rPr>
          <w:color w:val="365F91"/>
        </w:rPr>
        <w:t xml:space="preserve"> – CBM</w:t>
      </w:r>
      <w:r w:rsidR="00797E28" w:rsidRPr="00797E28">
        <w:rPr>
          <w:color w:val="365F91"/>
          <w:vertAlign w:val="subscript"/>
        </w:rPr>
        <w:t>Si</w:t>
      </w:r>
      <w:r w:rsidR="00797E28" w:rsidRPr="00797E28">
        <w:rPr>
          <w:color w:val="365F91"/>
        </w:rPr>
        <w:t xml:space="preserve"> – TRM</w:t>
      </w:r>
      <w:r w:rsidR="00797E28" w:rsidRPr="00797E28">
        <w:rPr>
          <w:color w:val="365F91"/>
          <w:vertAlign w:val="subscript"/>
        </w:rPr>
        <w:t>Ui</w:t>
      </w:r>
      <w:r w:rsidR="00797E28" w:rsidRPr="00797E28">
        <w:rPr>
          <w:color w:val="365F91"/>
        </w:rPr>
        <w:t xml:space="preserve"> + Postbacks</w:t>
      </w:r>
      <w:r w:rsidR="00797E28" w:rsidRPr="00797E28">
        <w:rPr>
          <w:color w:val="365F91"/>
          <w:vertAlign w:val="subscript"/>
        </w:rPr>
        <w:t>NFi</w:t>
      </w:r>
      <w:r w:rsidR="00797E28" w:rsidRPr="00797E28">
        <w:rPr>
          <w:color w:val="365F91"/>
        </w:rPr>
        <w:t xml:space="preserve"> + counterflows</w:t>
      </w:r>
    </w:p>
    <w:p w:rsidR="00ED17DD" w:rsidRPr="00ED17DD" w:rsidRDefault="00ED17DD" w:rsidP="00ED17DD">
      <w:pPr>
        <w:pStyle w:val="Requirement"/>
        <w:numPr>
          <w:ilvl w:val="0"/>
          <w:numId w:val="0"/>
        </w:numPr>
        <w:ind w:left="720"/>
        <w:rPr>
          <w:color w:val="365F91"/>
          <w:vertAlign w:val="subscript"/>
        </w:rPr>
      </w:pPr>
    </w:p>
    <w:p w:rsidR="00ED17DD" w:rsidRPr="001F467C" w:rsidRDefault="00ED17DD" w:rsidP="00ED17DD">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ED17DD" w:rsidRPr="001F467C" w:rsidRDefault="00ED17DD" w:rsidP="00ED17DD">
      <w:pPr>
        <w:widowControl w:val="0"/>
        <w:shd w:val="clear" w:color="auto" w:fill="D3DCE9"/>
        <w:tabs>
          <w:tab w:val="left" w:pos="720"/>
        </w:tabs>
        <w:spacing w:line="294" w:lineRule="exact"/>
        <w:rPr>
          <w:rFonts w:ascii="Times New Roman" w:hAnsi="Times New Roman" w:cs="Times New Roman"/>
          <w:bCs/>
          <w:color w:val="264D74"/>
          <w:sz w:val="24"/>
          <w:szCs w:val="24"/>
        </w:rPr>
      </w:pPr>
    </w:p>
    <w:p w:rsidR="00ED17DD" w:rsidRPr="001F467C" w:rsidRDefault="00ED17DD" w:rsidP="00ED17DD">
      <w:pPr>
        <w:widowControl w:val="0"/>
        <w:shd w:val="clear" w:color="auto" w:fill="D3DCE9"/>
        <w:tabs>
          <w:tab w:val="left" w:pos="720"/>
        </w:tabs>
        <w:spacing w:line="294" w:lineRule="exact"/>
        <w:rPr>
          <w:rFonts w:ascii="Times New Roman" w:hAnsi="Times New Roman" w:cs="Times New Roman"/>
          <w:bCs/>
          <w:color w:val="264D74"/>
          <w:sz w:val="24"/>
          <w:szCs w:val="24"/>
        </w:rPr>
      </w:pPr>
    </w:p>
    <w:p w:rsidR="00ED17DD" w:rsidRPr="001F467C" w:rsidRDefault="00ED17DD" w:rsidP="00ED17DD">
      <w:pPr>
        <w:widowControl w:val="0"/>
        <w:tabs>
          <w:tab w:val="left" w:pos="900"/>
          <w:tab w:val="left" w:pos="6360"/>
        </w:tabs>
        <w:spacing w:line="294" w:lineRule="exact"/>
        <w:rPr>
          <w:rFonts w:ascii="Times New Roman" w:hAnsi="Times New Roman" w:cs="Times New Roman"/>
          <w:b/>
          <w:bCs/>
          <w:color w:val="264D74"/>
          <w:sz w:val="24"/>
          <w:szCs w:val="24"/>
        </w:rPr>
      </w:pPr>
    </w:p>
    <w:p w:rsidR="00ED17DD" w:rsidRDefault="00ED17DD" w:rsidP="00ED17DD">
      <w:pPr>
        <w:widowControl w:val="0"/>
        <w:tabs>
          <w:tab w:val="left" w:pos="60"/>
        </w:tabs>
        <w:spacing w:line="200" w:lineRule="exact"/>
        <w:rPr>
          <w:rFonts w:ascii="Times New Roman" w:hAnsi="Times New Roman" w:cs="Times New Roman"/>
          <w:b/>
          <w:sz w:val="24"/>
          <w:szCs w:val="24"/>
        </w:rPr>
      </w:pPr>
    </w:p>
    <w:p w:rsidR="00ED17DD" w:rsidRDefault="00ED17DD" w:rsidP="00ED17DD"/>
    <w:p w:rsidR="00FC5C33" w:rsidRPr="00ED17DD" w:rsidRDefault="00FC5C33" w:rsidP="00ED17DD"/>
    <w:p w:rsidR="00DC1116" w:rsidRPr="00D354AD" w:rsidRDefault="008342B8" w:rsidP="00DC1116">
      <w:pPr>
        <w:pStyle w:val="Requirement"/>
        <w:tabs>
          <w:tab w:val="clear" w:pos="720"/>
          <w:tab w:val="clear" w:pos="3240"/>
        </w:tabs>
        <w:ind w:left="1080" w:hanging="540"/>
      </w:pPr>
      <w:r>
        <w:t xml:space="preserve"> </w:t>
      </w:r>
      <w:r w:rsidR="00DC1116" w:rsidRPr="007F67F8">
        <w:t xml:space="preserve">Each Transmission Service Provider shall </w:t>
      </w:r>
      <w:r w:rsidR="00DC1116">
        <w:t xml:space="preserve">recalculate </w:t>
      </w:r>
      <w:smartTag w:uri="urn:schemas-microsoft-com:office:smarttags" w:element="stockticker">
        <w:r w:rsidR="00DC1116">
          <w:t>AFC</w:t>
        </w:r>
      </w:smartTag>
      <w:r w:rsidR="00DC1116" w:rsidRPr="00B541C7">
        <w:t>, utilizing the updated models described in R3.</w:t>
      </w:r>
      <w:r w:rsidR="00DC1116">
        <w:t>2</w:t>
      </w:r>
      <w:r w:rsidR="00DC1116" w:rsidRPr="00B541C7">
        <w:t>, R3.</w:t>
      </w:r>
      <w:r w:rsidR="00DC1116">
        <w:t>3</w:t>
      </w:r>
      <w:r w:rsidR="00DC1116" w:rsidRPr="00B541C7">
        <w:t>, and R5,</w:t>
      </w:r>
      <w:r w:rsidR="00DC1116">
        <w:t xml:space="preserve"> </w:t>
      </w:r>
      <w:r w:rsidR="00DC1116" w:rsidRPr="007F67F8">
        <w:t>at a minimum on the</w:t>
      </w:r>
      <w:r w:rsidR="00DC1116" w:rsidRPr="00D354AD">
        <w:t xml:space="preserve"> following frequency</w:t>
      </w:r>
      <w:r w:rsidR="00DC1116">
        <w:t>, unless none of the calculated values identified in the AFC equation have changed</w:t>
      </w:r>
      <w:r w:rsidR="00DC1116" w:rsidRPr="00D354AD">
        <w:t>:  [</w:t>
      </w:r>
      <w:r w:rsidR="00DC1116" w:rsidRPr="00EF15F4">
        <w:rPr>
          <w:i/>
        </w:rPr>
        <w:t xml:space="preserve">Violation Risk Factor: </w:t>
      </w:r>
      <w:r w:rsidR="00DC1116">
        <w:rPr>
          <w:i/>
          <w:iCs/>
        </w:rPr>
        <w:t>To Be Determined</w:t>
      </w:r>
      <w:r w:rsidR="00DC1116" w:rsidRPr="00D354AD">
        <w:t>] [</w:t>
      </w:r>
      <w:r w:rsidR="00DC1116" w:rsidRPr="00EF15F4">
        <w:rPr>
          <w:i/>
        </w:rPr>
        <w:t>Time Horizon: Operations Planning</w:t>
      </w:r>
      <w:r w:rsidR="00DC1116" w:rsidRPr="00D354AD">
        <w:t>]</w:t>
      </w:r>
    </w:p>
    <w:p w:rsidR="00DC1116" w:rsidRPr="007F67F8" w:rsidRDefault="00DC1116" w:rsidP="00DC1116">
      <w:pPr>
        <w:pStyle w:val="Requirement"/>
        <w:numPr>
          <w:ilvl w:val="1"/>
          <w:numId w:val="5"/>
        </w:numPr>
        <w:tabs>
          <w:tab w:val="clear" w:pos="1726"/>
          <w:tab w:val="num" w:pos="1872"/>
          <w:tab w:val="left" w:pos="2592"/>
        </w:tabs>
        <w:ind w:left="1872"/>
      </w:pPr>
      <w:r w:rsidRPr="007F67F8">
        <w:t xml:space="preserve">For </w:t>
      </w:r>
      <w:r>
        <w:t xml:space="preserve">hourly </w:t>
      </w:r>
      <w:smartTag w:uri="urn:schemas-microsoft-com:office:smarttags" w:element="stockticker">
        <w:r>
          <w:t>AF</w:t>
        </w:r>
        <w:r w:rsidRPr="007F67F8">
          <w:t>C</w:t>
        </w:r>
      </w:smartTag>
      <w:r w:rsidRPr="007F67F8">
        <w:t xml:space="preserve">, once per </w:t>
      </w:r>
      <w:r>
        <w:t xml:space="preserve">hour. </w:t>
      </w:r>
      <w:r w:rsidRPr="006B1A60">
        <w:t>Transmission Service Providers are allowed up to 175 hours per calendar year during which calculations are not required to be performed</w:t>
      </w:r>
      <w:r>
        <w:t xml:space="preserve">, </w:t>
      </w:r>
      <w:r w:rsidRPr="00F263EE">
        <w:t>despite a change in a calculated value identified in the AFC equation.</w:t>
      </w:r>
    </w:p>
    <w:p w:rsidR="00DC1116" w:rsidRPr="007F67F8" w:rsidRDefault="00DC1116" w:rsidP="00DC1116">
      <w:pPr>
        <w:pStyle w:val="Requirement"/>
        <w:numPr>
          <w:ilvl w:val="1"/>
          <w:numId w:val="5"/>
        </w:numPr>
        <w:tabs>
          <w:tab w:val="clear" w:pos="1726"/>
          <w:tab w:val="num" w:pos="1872"/>
          <w:tab w:val="left" w:pos="2592"/>
        </w:tabs>
        <w:ind w:left="1872"/>
      </w:pPr>
      <w:r>
        <w:t xml:space="preserve">For daily </w:t>
      </w:r>
      <w:smartTag w:uri="urn:schemas-microsoft-com:office:smarttags" w:element="stockticker">
        <w:r>
          <w:t>AF</w:t>
        </w:r>
        <w:r w:rsidRPr="007F67F8">
          <w:t>C</w:t>
        </w:r>
      </w:smartTag>
      <w:r w:rsidRPr="007F67F8">
        <w:t xml:space="preserve">, once per </w:t>
      </w:r>
      <w:r>
        <w:t>day.</w:t>
      </w:r>
    </w:p>
    <w:p w:rsidR="00DC1116" w:rsidRDefault="00DC1116" w:rsidP="00DC1116">
      <w:pPr>
        <w:pStyle w:val="Requirement"/>
        <w:numPr>
          <w:ilvl w:val="1"/>
          <w:numId w:val="5"/>
        </w:numPr>
        <w:tabs>
          <w:tab w:val="clear" w:pos="1726"/>
          <w:tab w:val="clear" w:pos="3240"/>
          <w:tab w:val="num" w:pos="1872"/>
        </w:tabs>
        <w:ind w:left="1872"/>
      </w:pPr>
      <w:r w:rsidRPr="007F67F8">
        <w:t xml:space="preserve">For monthly </w:t>
      </w:r>
      <w:smartTag w:uri="urn:schemas-microsoft-com:office:smarttags" w:element="stockticker">
        <w:r w:rsidRPr="007F67F8">
          <w:t>A</w:t>
        </w:r>
        <w:r>
          <w:t>F</w:t>
        </w:r>
        <w:r w:rsidRPr="007F67F8">
          <w:t>C</w:t>
        </w:r>
      </w:smartTag>
      <w:r w:rsidRPr="007F67F8">
        <w:t xml:space="preserve">, once </w:t>
      </w:r>
      <w:r>
        <w:t>per</w:t>
      </w:r>
      <w:r w:rsidRPr="007F67F8">
        <w:t xml:space="preserve"> </w:t>
      </w:r>
      <w:r>
        <w:t>week.</w:t>
      </w:r>
    </w:p>
    <w:p w:rsidR="00496A9C" w:rsidRPr="001F467C" w:rsidRDefault="00496A9C" w:rsidP="00DC1116">
      <w:pPr>
        <w:pStyle w:val="Requirement"/>
        <w:numPr>
          <w:ilvl w:val="0"/>
          <w:numId w:val="0"/>
        </w:numPr>
        <w:spacing w:after="0" w:line="360" w:lineRule="exact"/>
        <w:jc w:val="center"/>
      </w:pPr>
    </w:p>
    <w:p w:rsidR="00496A9C" w:rsidRDefault="00496A9C" w:rsidP="00496A9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496A9C" w:rsidRPr="009C039C" w:rsidRDefault="00496A9C" w:rsidP="00496A9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96A9C" w:rsidRPr="001F467C" w:rsidRDefault="00496A9C" w:rsidP="00496A9C">
      <w:pPr>
        <w:widowControl w:val="0"/>
        <w:tabs>
          <w:tab w:val="left" w:pos="720"/>
        </w:tabs>
        <w:spacing w:line="186" w:lineRule="exact"/>
        <w:ind w:left="720"/>
        <w:rPr>
          <w:rFonts w:ascii="Times New Roman" w:hAnsi="Times New Roman" w:cs="Times New Roman"/>
          <w:sz w:val="24"/>
          <w:szCs w:val="24"/>
        </w:rPr>
      </w:pPr>
    </w:p>
    <w:p w:rsidR="00496A9C" w:rsidRPr="001F467C"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496A9C" w:rsidRPr="001F467C"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96A9C" w:rsidRPr="001F467C" w:rsidRDefault="00496A9C" w:rsidP="00496A9C">
      <w:pPr>
        <w:widowControl w:val="0"/>
        <w:spacing w:line="40" w:lineRule="exact"/>
        <w:rPr>
          <w:rFonts w:ascii="Times New Roman" w:hAnsi="Times New Roman" w:cs="Times New Roman"/>
          <w:sz w:val="24"/>
          <w:szCs w:val="24"/>
        </w:rPr>
      </w:pPr>
    </w:p>
    <w:p w:rsidR="00496A9C" w:rsidRDefault="00496A9C" w:rsidP="00496A9C">
      <w:pPr>
        <w:widowControl w:val="0"/>
        <w:tabs>
          <w:tab w:val="left" w:pos="900"/>
          <w:tab w:val="left" w:pos="6360"/>
        </w:tabs>
        <w:spacing w:line="294" w:lineRule="exact"/>
        <w:rPr>
          <w:rFonts w:ascii="Times New Roman" w:hAnsi="Times New Roman" w:cs="Times New Roman"/>
          <w:b/>
          <w:i/>
          <w:iCs/>
          <w:color w:val="C00000"/>
          <w:sz w:val="24"/>
          <w:szCs w:val="24"/>
        </w:rPr>
      </w:pPr>
    </w:p>
    <w:p w:rsidR="007D2FD5" w:rsidRPr="009901B0" w:rsidRDefault="007D2FD5" w:rsidP="009901B0">
      <w:pPr>
        <w:pStyle w:val="Heading1"/>
      </w:pPr>
      <w:r w:rsidRPr="009901B0">
        <w:t>R10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7D2FD5" w:rsidRDefault="007D2FD5" w:rsidP="00496A9C">
      <w:pPr>
        <w:widowControl w:val="0"/>
        <w:tabs>
          <w:tab w:val="left" w:pos="900"/>
          <w:tab w:val="left" w:pos="6360"/>
        </w:tabs>
        <w:spacing w:line="294" w:lineRule="exact"/>
        <w:rPr>
          <w:rFonts w:ascii="Times New Roman" w:hAnsi="Times New Roman" w:cs="Times New Roman"/>
          <w:b/>
          <w:i/>
          <w:iCs/>
          <w:color w:val="C00000"/>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496A9C" w:rsidRDefault="00496A9C" w:rsidP="00496A9C">
      <w:pPr>
        <w:widowControl w:val="0"/>
        <w:tabs>
          <w:tab w:val="left" w:pos="60"/>
        </w:tabs>
        <w:spacing w:line="294" w:lineRule="exact"/>
        <w:rPr>
          <w:rFonts w:ascii="Times New Roman" w:hAnsi="Times New Roman" w:cs="Times New Roman"/>
          <w:b/>
          <w:bCs/>
          <w:color w:val="003366"/>
          <w:sz w:val="24"/>
          <w:szCs w:val="24"/>
        </w:rPr>
      </w:pPr>
    </w:p>
    <w:p w:rsidR="00496A9C" w:rsidRPr="001F467C" w:rsidRDefault="00496A9C" w:rsidP="00496A9C">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ssment Approach Specific to 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R10</w:t>
      </w:r>
    </w:p>
    <w:p w:rsidR="00496A9C" w:rsidRPr="005E50A4" w:rsidRDefault="00496A9C" w:rsidP="00496A9C">
      <w:pPr>
        <w:rPr>
          <w:rFonts w:ascii="Times New Roman" w:hAnsi="Times New Roman" w:cs="Times New Roman"/>
          <w:color w:val="365F91"/>
          <w:sz w:val="24"/>
          <w:szCs w:val="24"/>
        </w:rPr>
      </w:pPr>
    </w:p>
    <w:p w:rsidR="00ED17DD" w:rsidRDefault="00ED17DD" w:rsidP="00ED17DD">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Unless none of the calculated values identified in the AFC have changed, verify the TSP recalculated the AFC utilizing the updated models described in R3.2, R3.3 and R5 at a minimum:</w:t>
      </w:r>
    </w:p>
    <w:p w:rsidR="00AF728E" w:rsidRDefault="00AF728E" w:rsidP="00ED17DD">
      <w:pPr>
        <w:ind w:left="1530" w:hanging="451"/>
        <w:rPr>
          <w:rFonts w:ascii="Times New Roman" w:hAnsi="Times New Roman" w:cs="Times New Roman"/>
          <w:color w:val="365F91"/>
          <w:sz w:val="24"/>
          <w:szCs w:val="24"/>
        </w:rPr>
      </w:pPr>
    </w:p>
    <w:p w:rsidR="00ED17DD" w:rsidRDefault="00ED17DD" w:rsidP="00ED17DD">
      <w:pPr>
        <w:ind w:left="1530" w:hanging="45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___Hourly, once per hour</w:t>
      </w:r>
    </w:p>
    <w:p w:rsidR="00ED17DD" w:rsidRDefault="00ED17DD" w:rsidP="00ED17DD">
      <w:pPr>
        <w:ind w:left="1530" w:hanging="451"/>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___Daily, once per day</w:t>
      </w:r>
    </w:p>
    <w:p w:rsidR="00AF728E" w:rsidRDefault="00AF728E" w:rsidP="00ED17DD">
      <w:pPr>
        <w:ind w:left="1530" w:hanging="451"/>
        <w:rPr>
          <w:rFonts w:ascii="Times New Roman" w:hAnsi="Times New Roman" w:cs="Times New Roman"/>
          <w:color w:val="365F91"/>
          <w:sz w:val="24"/>
          <w:szCs w:val="24"/>
        </w:rPr>
      </w:pPr>
    </w:p>
    <w:p w:rsidR="00ED17DD" w:rsidRPr="005E50A4" w:rsidRDefault="00ED17DD" w:rsidP="00ED17DD">
      <w:pPr>
        <w:ind w:left="1530" w:hanging="451"/>
        <w:rPr>
          <w:rFonts w:ascii="Times New Roman" w:hAnsi="Times New Roman" w:cs="Times New Roman"/>
          <w:color w:val="365F91"/>
          <w:sz w:val="24"/>
          <w:szCs w:val="24"/>
        </w:rPr>
      </w:pPr>
      <w:r>
        <w:rPr>
          <w:rFonts w:ascii="Times New Roman" w:hAnsi="Times New Roman" w:cs="Times New Roman"/>
          <w:color w:val="365F91"/>
          <w:sz w:val="24"/>
          <w:szCs w:val="24"/>
        </w:rPr>
        <w:t xml:space="preserve">                           ___Monthly, once per week</w:t>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         </w:t>
      </w:r>
    </w:p>
    <w:p w:rsidR="00496A9C" w:rsidRPr="005E50A4" w:rsidRDefault="00496A9C" w:rsidP="00496A9C">
      <w:pPr>
        <w:widowControl w:val="0"/>
        <w:tabs>
          <w:tab w:val="left" w:pos="60"/>
        </w:tabs>
        <w:spacing w:line="294" w:lineRule="exact"/>
        <w:rPr>
          <w:rFonts w:ascii="Times New Roman" w:hAnsi="Times New Roman" w:cs="Times New Roman"/>
          <w:color w:val="365F91"/>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p>
    <w:p w:rsidR="00496A9C" w:rsidRDefault="00496A9C" w:rsidP="00496A9C">
      <w:pPr>
        <w:widowControl w:val="0"/>
        <w:tabs>
          <w:tab w:val="left" w:pos="60"/>
        </w:tabs>
        <w:spacing w:line="200" w:lineRule="exact"/>
        <w:rPr>
          <w:rFonts w:ascii="Times New Roman" w:hAnsi="Times New Roman" w:cs="Times New Roman"/>
          <w:b/>
          <w:sz w:val="24"/>
          <w:szCs w:val="24"/>
        </w:rPr>
      </w:pPr>
    </w:p>
    <w:p w:rsidR="00A52681" w:rsidRDefault="00A52681" w:rsidP="00F250BD">
      <w:pPr>
        <w:pStyle w:val="Heading1"/>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8342B8" w:rsidRPr="008342B8" w:rsidRDefault="008342B8" w:rsidP="00DC1116">
      <w:pPr>
        <w:pStyle w:val="ListParagraph"/>
        <w:numPr>
          <w:ilvl w:val="0"/>
          <w:numId w:val="26"/>
        </w:numPr>
        <w:autoSpaceDE/>
        <w:autoSpaceDN/>
        <w:adjustRightInd/>
        <w:spacing w:after="120"/>
        <w:rPr>
          <w:rFonts w:ascii="Times New Roman" w:hAnsi="Times New Roman" w:cs="Times New Roman"/>
          <w:vanish/>
          <w:sz w:val="24"/>
          <w:szCs w:val="24"/>
        </w:rPr>
      </w:pPr>
    </w:p>
    <w:p w:rsidR="00DC1116" w:rsidRPr="004E71C2" w:rsidRDefault="00DC1116" w:rsidP="00DC1116">
      <w:pPr>
        <w:pStyle w:val="Requirement"/>
        <w:numPr>
          <w:ilvl w:val="0"/>
          <w:numId w:val="26"/>
        </w:numPr>
        <w:tabs>
          <w:tab w:val="clear" w:pos="3240"/>
        </w:tabs>
      </w:pPr>
      <w:r>
        <w:t xml:space="preserve">When converting Flowgate AFCs to ATCs for ATC Paths, the Transmission Service Provider </w:t>
      </w:r>
      <w:r w:rsidRPr="004E71C2">
        <w:t>shall convert those values based on the following algorithm:</w:t>
      </w:r>
      <w:r w:rsidRPr="00DC1116">
        <w:rPr>
          <w:rFonts w:ascii="TimesNewRomanPSMT" w:hAnsi="TimesNewRomanPSMT" w:cs="TimesNewRomanPSMT"/>
        </w:rPr>
        <w:t xml:space="preserve"> [</w:t>
      </w:r>
      <w:r w:rsidRPr="00DC1116">
        <w:rPr>
          <w:i/>
          <w:iCs/>
        </w:rPr>
        <w:t>Violation Risk Factor: To Be Determined</w:t>
      </w:r>
      <w:r w:rsidRPr="00DC1116">
        <w:rPr>
          <w:rFonts w:ascii="TimesNewRomanPSMT" w:hAnsi="TimesNewRomanPSMT" w:cs="TimesNewRomanPSMT"/>
        </w:rPr>
        <w:t>] [</w:t>
      </w:r>
      <w:r w:rsidRPr="00DC1116">
        <w:rPr>
          <w:i/>
          <w:iCs/>
        </w:rPr>
        <w:t>Time Horizon: Operations Planning</w:t>
      </w:r>
      <w:r w:rsidRPr="00DC1116">
        <w:rPr>
          <w:rFonts w:ascii="TimesNewRomanPSMT" w:hAnsi="TimesNewRomanPSMT" w:cs="TimesNewRomanPSMT"/>
        </w:rPr>
        <w:t>]</w:t>
      </w:r>
    </w:p>
    <w:p w:rsidR="00DC1116" w:rsidRPr="00214AF9" w:rsidRDefault="00DC1116" w:rsidP="00DC1116">
      <w:pPr>
        <w:pStyle w:val="Requirement"/>
        <w:numPr>
          <w:ilvl w:val="0"/>
          <w:numId w:val="0"/>
        </w:numPr>
        <w:tabs>
          <w:tab w:val="clear" w:pos="3240"/>
        </w:tabs>
        <w:ind w:left="540" w:firstLine="540"/>
        <w:jc w:val="center"/>
      </w:pPr>
      <w:r>
        <w:t>ATC = min(P)</w:t>
      </w:r>
    </w:p>
    <w:p w:rsidR="00DC1116" w:rsidRDefault="00DC1116" w:rsidP="00DC1116">
      <w:pPr>
        <w:pStyle w:val="Requirement"/>
        <w:numPr>
          <w:ilvl w:val="0"/>
          <w:numId w:val="0"/>
        </w:numPr>
        <w:tabs>
          <w:tab w:val="clear" w:pos="3240"/>
        </w:tabs>
        <w:ind w:left="540" w:firstLine="540"/>
        <w:jc w:val="center"/>
      </w:pPr>
      <w:r>
        <w:t>P ={PATC</w:t>
      </w:r>
      <w:r>
        <w:rPr>
          <w:vertAlign w:val="subscript"/>
        </w:rPr>
        <w:t>1</w:t>
      </w:r>
      <w:r>
        <w:t>, PATC</w:t>
      </w:r>
      <w:r>
        <w:rPr>
          <w:vertAlign w:val="subscript"/>
        </w:rPr>
        <w:t>2</w:t>
      </w:r>
      <w:r>
        <w:t>,…PATC</w:t>
      </w:r>
      <w:r>
        <w:rPr>
          <w:vertAlign w:val="subscript"/>
        </w:rPr>
        <w:t>n</w:t>
      </w:r>
      <w:r>
        <w:t xml:space="preserve">} </w:t>
      </w:r>
    </w:p>
    <w:p w:rsidR="00DC1116" w:rsidRDefault="00DC1116" w:rsidP="00DC1116">
      <w:pPr>
        <w:pStyle w:val="Requirement"/>
        <w:numPr>
          <w:ilvl w:val="0"/>
          <w:numId w:val="0"/>
        </w:numPr>
        <w:tabs>
          <w:tab w:val="clear" w:pos="3240"/>
        </w:tabs>
        <w:ind w:left="540" w:firstLine="540"/>
        <w:jc w:val="center"/>
      </w:pPr>
      <w:r>
        <w:t>PATC</w:t>
      </w:r>
      <w:r>
        <w:rPr>
          <w:vertAlign w:val="subscript"/>
        </w:rPr>
        <w:t>n</w:t>
      </w:r>
      <w:r>
        <w:t xml:space="preserve"> = </w:t>
      </w:r>
      <w:r w:rsidRPr="000C6D1E">
        <w:rPr>
          <w:position w:val="-32"/>
        </w:rPr>
        <w:object w:dxaOrig="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6pt" o:ole="">
            <v:imagedata r:id="rId14" o:title=""/>
          </v:shape>
          <o:OLEObject Type="Embed" ProgID="Equation.3" ShapeID="_x0000_i1025" DrawAspect="Content" ObjectID="_1443617928" r:id="rId15"/>
        </w:object>
      </w:r>
    </w:p>
    <w:p w:rsidR="00DC1116" w:rsidRPr="0022410E" w:rsidRDefault="00DC1116" w:rsidP="00DC1116">
      <w:pPr>
        <w:pStyle w:val="Requirement"/>
        <w:numPr>
          <w:ilvl w:val="0"/>
          <w:numId w:val="0"/>
        </w:numPr>
        <w:tabs>
          <w:tab w:val="clear" w:pos="3240"/>
        </w:tabs>
        <w:ind w:left="1080"/>
        <w:rPr>
          <w:b/>
        </w:rPr>
      </w:pPr>
      <w:r w:rsidRPr="0022410E">
        <w:rPr>
          <w:b/>
        </w:rPr>
        <w:t xml:space="preserve">Where:  </w:t>
      </w:r>
    </w:p>
    <w:p w:rsidR="00DC1116" w:rsidRDefault="00DC1116" w:rsidP="00DC1116">
      <w:pPr>
        <w:pStyle w:val="Requirement"/>
        <w:numPr>
          <w:ilvl w:val="0"/>
          <w:numId w:val="0"/>
        </w:numPr>
        <w:tabs>
          <w:tab w:val="clear" w:pos="3240"/>
        </w:tabs>
        <w:ind w:left="1440"/>
      </w:pPr>
      <w:r>
        <w:rPr>
          <w:b/>
        </w:rPr>
        <w:t>A</w:t>
      </w:r>
      <w:r w:rsidRPr="003642D5">
        <w:rPr>
          <w:b/>
        </w:rPr>
        <w:t>TC</w:t>
      </w:r>
      <w:r>
        <w:t xml:space="preserve"> is the Available Transfer Capability.</w:t>
      </w:r>
    </w:p>
    <w:p w:rsidR="00DC1116" w:rsidRDefault="00DC1116" w:rsidP="00DC1116">
      <w:pPr>
        <w:pStyle w:val="Requirement"/>
        <w:numPr>
          <w:ilvl w:val="0"/>
          <w:numId w:val="0"/>
        </w:numPr>
        <w:tabs>
          <w:tab w:val="clear" w:pos="3240"/>
        </w:tabs>
        <w:ind w:left="1440"/>
      </w:pPr>
      <w:r w:rsidRPr="003642D5">
        <w:rPr>
          <w:b/>
        </w:rPr>
        <w:t>P</w:t>
      </w:r>
      <w:r>
        <w:t xml:space="preserve"> is the set of partial Available Transfer Capabilities for all “impacted” Flowgates honored by the Transmission Service Provider; a</w:t>
      </w:r>
      <w:r w:rsidRPr="00626A39">
        <w:t xml:space="preserve"> </w:t>
      </w:r>
      <w:r>
        <w:t>Flowgate</w:t>
      </w:r>
      <w:r w:rsidRPr="00626A39">
        <w:t xml:space="preserve"> is considered </w:t>
      </w:r>
      <w:r>
        <w:t>“</w:t>
      </w:r>
      <w:r w:rsidRPr="00626A39">
        <w:t>impacted</w:t>
      </w:r>
      <w:r>
        <w:t>”</w:t>
      </w:r>
      <w:r w:rsidRPr="00626A39">
        <w:t xml:space="preserve"> by a path if the Distribution Factor for that path is greater than </w:t>
      </w:r>
      <w:r>
        <w:t>t</w:t>
      </w:r>
      <w:r w:rsidRPr="00C34547">
        <w:t>he percentage</w:t>
      </w:r>
      <w:r w:rsidRPr="00C34547">
        <w:rPr>
          <w:rStyle w:val="FootnoteReference"/>
        </w:rPr>
        <w:footnoteReference w:id="8"/>
      </w:r>
      <w:r w:rsidRPr="00C34547">
        <w:t xml:space="preserve"> us</w:t>
      </w:r>
      <w:r>
        <w:t>ed to curtail in the Interconnection-wide congestion management procedure used by the Transmission Service Provider</w:t>
      </w:r>
      <w:r w:rsidRPr="00626A39">
        <w:t xml:space="preserve"> on an OTDF </w:t>
      </w:r>
      <w:r>
        <w:t>Flowgate</w:t>
      </w:r>
      <w:r w:rsidRPr="00626A39">
        <w:t xml:space="preserve"> </w:t>
      </w:r>
      <w:r>
        <w:t>or</w:t>
      </w:r>
      <w:r w:rsidRPr="00626A39">
        <w:t xml:space="preserve"> PTDF </w:t>
      </w:r>
      <w:r>
        <w:t>Flowgate.</w:t>
      </w:r>
    </w:p>
    <w:p w:rsidR="00DC1116" w:rsidRPr="000C6D1E" w:rsidRDefault="00DC1116" w:rsidP="00DC1116">
      <w:pPr>
        <w:pStyle w:val="Requirement"/>
        <w:numPr>
          <w:ilvl w:val="0"/>
          <w:numId w:val="0"/>
        </w:numPr>
        <w:tabs>
          <w:tab w:val="clear" w:pos="3240"/>
        </w:tabs>
        <w:ind w:left="1440"/>
        <w:rPr>
          <w:i/>
        </w:rPr>
      </w:pPr>
      <w:r w:rsidRPr="003642D5">
        <w:rPr>
          <w:b/>
        </w:rPr>
        <w:t>P</w:t>
      </w:r>
      <w:r>
        <w:rPr>
          <w:b/>
        </w:rPr>
        <w:t>A</w:t>
      </w:r>
      <w:r w:rsidRPr="003642D5">
        <w:rPr>
          <w:b/>
        </w:rPr>
        <w:t>TC</w:t>
      </w:r>
      <w:r w:rsidRPr="003642D5">
        <w:rPr>
          <w:b/>
          <w:vertAlign w:val="subscript"/>
        </w:rPr>
        <w:t>n</w:t>
      </w:r>
      <w:r>
        <w:t xml:space="preserve"> is the partial Available Transfer Capability for a path relative to a Flowgate </w:t>
      </w:r>
      <w:r>
        <w:rPr>
          <w:i/>
        </w:rPr>
        <w:t>n.</w:t>
      </w:r>
    </w:p>
    <w:p w:rsidR="00DC1116" w:rsidRDefault="00DC1116" w:rsidP="00DC1116">
      <w:pPr>
        <w:pStyle w:val="Requirement"/>
        <w:numPr>
          <w:ilvl w:val="0"/>
          <w:numId w:val="0"/>
        </w:numPr>
        <w:tabs>
          <w:tab w:val="clear" w:pos="3240"/>
        </w:tabs>
        <w:ind w:left="900" w:firstLine="540"/>
      </w:pPr>
      <w:r>
        <w:rPr>
          <w:b/>
        </w:rPr>
        <w:t>A</w:t>
      </w:r>
      <w:r w:rsidRPr="003642D5">
        <w:rPr>
          <w:b/>
        </w:rPr>
        <w:t>FC</w:t>
      </w:r>
      <w:r w:rsidRPr="003642D5">
        <w:rPr>
          <w:b/>
          <w:vertAlign w:val="subscript"/>
        </w:rPr>
        <w:t xml:space="preserve">n </w:t>
      </w:r>
      <w:r>
        <w:t xml:space="preserve"> is the Available Flowgate Capability of a Flowgate </w:t>
      </w:r>
      <w:r>
        <w:rPr>
          <w:i/>
        </w:rPr>
        <w:t>n</w:t>
      </w:r>
      <w:r>
        <w:t xml:space="preserve">. </w:t>
      </w:r>
    </w:p>
    <w:p w:rsidR="00DC1116" w:rsidRPr="000C6D1E" w:rsidRDefault="00DC1116" w:rsidP="00DC1116">
      <w:pPr>
        <w:pStyle w:val="Requirement"/>
        <w:numPr>
          <w:ilvl w:val="0"/>
          <w:numId w:val="0"/>
        </w:numPr>
        <w:tabs>
          <w:tab w:val="clear" w:pos="3240"/>
        </w:tabs>
        <w:ind w:left="1080" w:firstLine="360"/>
      </w:pPr>
      <w:r w:rsidRPr="003642D5">
        <w:rPr>
          <w:b/>
        </w:rPr>
        <w:t>DF</w:t>
      </w:r>
      <w:r w:rsidRPr="003642D5">
        <w:rPr>
          <w:b/>
          <w:vertAlign w:val="subscript"/>
        </w:rPr>
        <w:t>np</w:t>
      </w:r>
      <w:r w:rsidRPr="003642D5">
        <w:rPr>
          <w:b/>
        </w:rPr>
        <w:t xml:space="preserve"> </w:t>
      </w:r>
      <w:r>
        <w:t xml:space="preserve">is the distribution factor for Flowgate </w:t>
      </w:r>
      <w:r>
        <w:rPr>
          <w:i/>
        </w:rPr>
        <w:t>n</w:t>
      </w:r>
      <w:r>
        <w:t xml:space="preserve"> relative to path </w:t>
      </w:r>
      <w:r>
        <w:rPr>
          <w:i/>
        </w:rPr>
        <w:t>p</w:t>
      </w:r>
      <w:r>
        <w:t>.</w:t>
      </w:r>
    </w:p>
    <w:p w:rsidR="00496A9C" w:rsidRPr="001F467C" w:rsidRDefault="00496A9C" w:rsidP="00496A9C">
      <w:pPr>
        <w:pStyle w:val="Requirement"/>
        <w:numPr>
          <w:ilvl w:val="0"/>
          <w:numId w:val="0"/>
        </w:numPr>
        <w:spacing w:after="0" w:line="360" w:lineRule="exact"/>
      </w:pPr>
    </w:p>
    <w:p w:rsidR="00496A9C" w:rsidRDefault="00496A9C" w:rsidP="00496A9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496A9C" w:rsidRPr="009C039C" w:rsidRDefault="00496A9C" w:rsidP="00496A9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496A9C" w:rsidRPr="001F467C" w:rsidRDefault="00496A9C" w:rsidP="00496A9C">
      <w:pPr>
        <w:widowControl w:val="0"/>
        <w:tabs>
          <w:tab w:val="left" w:pos="720"/>
        </w:tabs>
        <w:spacing w:line="186" w:lineRule="exact"/>
        <w:ind w:left="720"/>
        <w:rPr>
          <w:rFonts w:ascii="Times New Roman" w:hAnsi="Times New Roman" w:cs="Times New Roman"/>
          <w:sz w:val="24"/>
          <w:szCs w:val="24"/>
        </w:rPr>
      </w:pPr>
    </w:p>
    <w:p w:rsidR="00496A9C" w:rsidRPr="001F467C"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496A9C" w:rsidRPr="001F467C" w:rsidRDefault="00496A9C" w:rsidP="00496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96A9C" w:rsidRPr="001F467C" w:rsidRDefault="00496A9C" w:rsidP="00496A9C">
      <w:pPr>
        <w:widowControl w:val="0"/>
        <w:spacing w:line="40" w:lineRule="exact"/>
        <w:rPr>
          <w:rFonts w:ascii="Times New Roman" w:hAnsi="Times New Roman" w:cs="Times New Roman"/>
          <w:sz w:val="24"/>
          <w:szCs w:val="24"/>
        </w:rPr>
      </w:pPr>
    </w:p>
    <w:p w:rsidR="009901B0" w:rsidRDefault="009901B0" w:rsidP="007D2FD5">
      <w:pPr>
        <w:pStyle w:val="Heading1"/>
        <w:rPr>
          <w:color w:val="365F91"/>
          <w:sz w:val="24"/>
          <w:szCs w:val="24"/>
        </w:rPr>
      </w:pPr>
    </w:p>
    <w:p w:rsidR="007D2FD5" w:rsidRPr="009901B0" w:rsidRDefault="007D2FD5" w:rsidP="009901B0">
      <w:pPr>
        <w:pStyle w:val="Heading1"/>
      </w:pPr>
      <w:r w:rsidRPr="009901B0">
        <w:t>R11 Supporting Evidence and Documentation</w:t>
      </w:r>
    </w:p>
    <w:p w:rsidR="007D2FD5" w:rsidRDefault="007D2FD5" w:rsidP="007D2FD5">
      <w:pPr>
        <w:widowControl w:val="0"/>
        <w:spacing w:line="266" w:lineRule="exact"/>
        <w:rPr>
          <w:rFonts w:ascii="Times New Roman" w:hAnsi="Times New Roman" w:cs="Times New Roman"/>
          <w:b/>
          <w:bCs/>
          <w:color w:val="FF0000"/>
          <w:sz w:val="24"/>
          <w:szCs w:val="24"/>
        </w:rPr>
      </w:pPr>
    </w:p>
    <w:p w:rsidR="007D2FD5" w:rsidRDefault="007D2FD5" w:rsidP="007D2FD5">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D2FD5" w:rsidRDefault="007D2FD5" w:rsidP="007D2FD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D2FD5" w:rsidTr="007D2FD5">
        <w:trPr>
          <w:gridAfter w:val="1"/>
          <w:wAfter w:w="1224" w:type="dxa"/>
          <w:trHeight w:val="945"/>
        </w:trPr>
        <w:tc>
          <w:tcPr>
            <w:tcW w:w="1098" w:type="dxa"/>
            <w:tcBorders>
              <w:top w:val="nil"/>
              <w:left w:val="nil"/>
              <w:bottom w:val="nil"/>
              <w:right w:val="nil"/>
            </w:tcBorders>
          </w:tcPr>
          <w:p w:rsidR="007D2FD5" w:rsidRDefault="007D2FD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D2FD5" w:rsidRDefault="007D2FD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D2FD5" w:rsidRDefault="007D2FD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D2FD5" w:rsidTr="007D2FD5">
        <w:tc>
          <w:tcPr>
            <w:tcW w:w="78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D2FD5" w:rsidRDefault="007D2FD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hideMark/>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r w:rsidR="007D2FD5" w:rsidTr="007D2FD5">
        <w:tc>
          <w:tcPr>
            <w:tcW w:w="78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D2FD5" w:rsidRDefault="007D2FD5">
            <w:pPr>
              <w:widowControl w:val="0"/>
              <w:tabs>
                <w:tab w:val="left" w:pos="900"/>
                <w:tab w:val="left" w:pos="6360"/>
              </w:tabs>
              <w:spacing w:line="294" w:lineRule="exact"/>
              <w:rPr>
                <w:rFonts w:ascii="Times New Roman" w:hAnsi="Times New Roman" w:cs="Times New Roman"/>
                <w:b/>
                <w:bCs/>
                <w:sz w:val="24"/>
                <w:szCs w:val="24"/>
              </w:rPr>
            </w:pPr>
          </w:p>
        </w:tc>
      </w:tr>
    </w:tbl>
    <w:p w:rsidR="00496A9C" w:rsidRDefault="00496A9C" w:rsidP="00496A9C">
      <w:pPr>
        <w:widowControl w:val="0"/>
        <w:tabs>
          <w:tab w:val="left" w:pos="900"/>
          <w:tab w:val="left" w:pos="6360"/>
        </w:tabs>
        <w:spacing w:line="294" w:lineRule="exact"/>
        <w:rPr>
          <w:rFonts w:ascii="Times New Roman" w:hAnsi="Times New Roman" w:cs="Times New Roman"/>
          <w:b/>
          <w:i/>
          <w:iCs/>
          <w:color w:val="C00000"/>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496A9C" w:rsidRDefault="00496A9C" w:rsidP="00496A9C">
      <w:pPr>
        <w:widowControl w:val="0"/>
        <w:tabs>
          <w:tab w:val="left" w:pos="60"/>
        </w:tabs>
        <w:spacing w:line="294" w:lineRule="exact"/>
        <w:rPr>
          <w:rFonts w:ascii="Times New Roman" w:hAnsi="Times New Roman" w:cs="Times New Roman"/>
          <w:b/>
          <w:bCs/>
          <w:color w:val="003366"/>
          <w:sz w:val="24"/>
          <w:szCs w:val="24"/>
        </w:rPr>
      </w:pPr>
    </w:p>
    <w:p w:rsidR="00496A9C" w:rsidRPr="001F467C" w:rsidRDefault="00496A9C" w:rsidP="00496A9C">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ssment Approach Specific to MOD-0</w:t>
      </w:r>
      <w:r w:rsidR="008342B8">
        <w:rPr>
          <w:rFonts w:ascii="Times New Roman" w:hAnsi="Times New Roman" w:cs="Times New Roman"/>
          <w:b/>
          <w:bCs/>
          <w:color w:val="003366"/>
          <w:sz w:val="24"/>
          <w:szCs w:val="24"/>
        </w:rPr>
        <w:t>30</w:t>
      </w:r>
      <w:r>
        <w:rPr>
          <w:rFonts w:ascii="Times New Roman" w:hAnsi="Times New Roman" w:cs="Times New Roman"/>
          <w:b/>
          <w:bCs/>
          <w:color w:val="003366"/>
          <w:sz w:val="24"/>
          <w:szCs w:val="24"/>
        </w:rPr>
        <w:t>-</w:t>
      </w:r>
      <w:r w:rsidR="008342B8">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R11</w:t>
      </w:r>
    </w:p>
    <w:p w:rsidR="00496A9C" w:rsidRPr="005E50A4" w:rsidRDefault="00496A9C" w:rsidP="00496A9C">
      <w:pPr>
        <w:rPr>
          <w:rFonts w:ascii="Times New Roman" w:hAnsi="Times New Roman" w:cs="Times New Roman"/>
          <w:color w:val="365F91"/>
          <w:sz w:val="24"/>
          <w:szCs w:val="24"/>
        </w:rPr>
      </w:pPr>
    </w:p>
    <w:p w:rsidR="00F56EA2" w:rsidRDefault="00F56EA2" w:rsidP="00F56EA2">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Verify the TSP converted the Flowgate AFCs to ATC for ATC paths based upon the following algorithm:</w:t>
      </w:r>
    </w:p>
    <w:p w:rsidR="00AF728E" w:rsidRPr="00AF728E" w:rsidRDefault="00F56EA2" w:rsidP="00AF728E">
      <w:pPr>
        <w:pStyle w:val="Requirement"/>
        <w:numPr>
          <w:ilvl w:val="0"/>
          <w:numId w:val="0"/>
        </w:numPr>
        <w:tabs>
          <w:tab w:val="clear" w:pos="3240"/>
        </w:tabs>
        <w:ind w:left="540" w:firstLine="540"/>
        <w:jc w:val="center"/>
        <w:rPr>
          <w:color w:val="365F91"/>
        </w:rPr>
      </w:pPr>
      <w:r>
        <w:t xml:space="preserve"> </w:t>
      </w:r>
      <w:r w:rsidR="00AF728E" w:rsidRPr="00AF728E">
        <w:rPr>
          <w:color w:val="365F91"/>
        </w:rPr>
        <w:t>ATC = min(P)</w:t>
      </w:r>
    </w:p>
    <w:p w:rsidR="00AF728E" w:rsidRPr="00AF728E" w:rsidRDefault="00AF728E" w:rsidP="00AF728E">
      <w:pPr>
        <w:pStyle w:val="Requirement"/>
        <w:numPr>
          <w:ilvl w:val="0"/>
          <w:numId w:val="0"/>
        </w:numPr>
        <w:tabs>
          <w:tab w:val="clear" w:pos="3240"/>
        </w:tabs>
        <w:ind w:left="540" w:firstLine="540"/>
        <w:jc w:val="center"/>
        <w:rPr>
          <w:color w:val="365F91"/>
        </w:rPr>
      </w:pPr>
      <w:r w:rsidRPr="00AF728E">
        <w:rPr>
          <w:color w:val="365F91"/>
        </w:rPr>
        <w:t>P ={PATC</w:t>
      </w:r>
      <w:r w:rsidRPr="00AF728E">
        <w:rPr>
          <w:color w:val="365F91"/>
          <w:vertAlign w:val="subscript"/>
        </w:rPr>
        <w:t>1</w:t>
      </w:r>
      <w:r w:rsidRPr="00AF728E">
        <w:rPr>
          <w:color w:val="365F91"/>
        </w:rPr>
        <w:t>, PATC</w:t>
      </w:r>
      <w:r w:rsidRPr="00AF728E">
        <w:rPr>
          <w:color w:val="365F91"/>
          <w:vertAlign w:val="subscript"/>
        </w:rPr>
        <w:t>2</w:t>
      </w:r>
      <w:r w:rsidRPr="00AF728E">
        <w:rPr>
          <w:color w:val="365F91"/>
        </w:rPr>
        <w:t>,…PATC</w:t>
      </w:r>
      <w:r w:rsidRPr="00AF728E">
        <w:rPr>
          <w:color w:val="365F91"/>
          <w:vertAlign w:val="subscript"/>
        </w:rPr>
        <w:t>n</w:t>
      </w:r>
      <w:r w:rsidRPr="00AF728E">
        <w:rPr>
          <w:color w:val="365F91"/>
        </w:rPr>
        <w:t xml:space="preserve">} </w:t>
      </w:r>
    </w:p>
    <w:p w:rsidR="00AF728E" w:rsidRPr="00AF728E" w:rsidRDefault="00AF728E" w:rsidP="00AF728E">
      <w:pPr>
        <w:pStyle w:val="Requirement"/>
        <w:numPr>
          <w:ilvl w:val="0"/>
          <w:numId w:val="0"/>
        </w:numPr>
        <w:tabs>
          <w:tab w:val="clear" w:pos="3240"/>
        </w:tabs>
        <w:ind w:left="540" w:firstLine="540"/>
        <w:jc w:val="center"/>
        <w:rPr>
          <w:color w:val="365F91"/>
        </w:rPr>
      </w:pPr>
      <w:r w:rsidRPr="00AF728E">
        <w:rPr>
          <w:color w:val="365F91"/>
        </w:rPr>
        <w:t>PATC</w:t>
      </w:r>
      <w:r w:rsidRPr="00AF728E">
        <w:rPr>
          <w:color w:val="365F91"/>
          <w:vertAlign w:val="subscript"/>
        </w:rPr>
        <w:t>n</w:t>
      </w:r>
      <w:r w:rsidRPr="00AF728E">
        <w:rPr>
          <w:color w:val="365F91"/>
        </w:rPr>
        <w:t xml:space="preserve"> = </w:t>
      </w:r>
      <w:r w:rsidRPr="00AF728E">
        <w:rPr>
          <w:color w:val="365F91"/>
          <w:position w:val="-32"/>
        </w:rPr>
        <w:object w:dxaOrig="700" w:dyaOrig="720">
          <v:shape id="_x0000_i1026" type="#_x0000_t75" style="width:35.4pt;height:36pt" o:ole="">
            <v:imagedata r:id="rId14" o:title=""/>
          </v:shape>
          <o:OLEObject Type="Embed" ProgID="Equation.3" ShapeID="_x0000_i1026" DrawAspect="Content" ObjectID="_1443617929" r:id="rId16"/>
        </w:object>
      </w:r>
    </w:p>
    <w:p w:rsidR="00496A9C" w:rsidRPr="005E50A4" w:rsidRDefault="00496A9C" w:rsidP="00496A9C">
      <w:pPr>
        <w:widowControl w:val="0"/>
        <w:tabs>
          <w:tab w:val="left" w:pos="60"/>
        </w:tabs>
        <w:spacing w:line="294" w:lineRule="exact"/>
        <w:rPr>
          <w:rFonts w:ascii="Times New Roman" w:hAnsi="Times New Roman" w:cs="Times New Roman"/>
          <w:color w:val="365F91"/>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rsidR="00496A9C" w:rsidRPr="001F467C" w:rsidRDefault="00496A9C" w:rsidP="00496A9C">
      <w:pPr>
        <w:widowControl w:val="0"/>
        <w:shd w:val="clear" w:color="auto" w:fill="D3DCE9"/>
        <w:tabs>
          <w:tab w:val="left" w:pos="720"/>
        </w:tabs>
        <w:spacing w:line="294" w:lineRule="exact"/>
        <w:rPr>
          <w:rFonts w:ascii="Times New Roman" w:hAnsi="Times New Roman" w:cs="Times New Roman"/>
          <w:bCs/>
          <w:color w:val="264D74"/>
          <w:sz w:val="24"/>
          <w:szCs w:val="24"/>
        </w:rPr>
      </w:pPr>
    </w:p>
    <w:p w:rsidR="00496A9C" w:rsidRPr="001F467C" w:rsidRDefault="00496A9C" w:rsidP="00496A9C">
      <w:pPr>
        <w:widowControl w:val="0"/>
        <w:tabs>
          <w:tab w:val="left" w:pos="900"/>
          <w:tab w:val="left" w:pos="6360"/>
        </w:tabs>
        <w:spacing w:line="294" w:lineRule="exact"/>
        <w:rPr>
          <w:rFonts w:ascii="Times New Roman" w:hAnsi="Times New Roman" w:cs="Times New Roman"/>
          <w:b/>
          <w:bCs/>
          <w:color w:val="264D74"/>
          <w:sz w:val="24"/>
          <w:szCs w:val="24"/>
        </w:rPr>
      </w:pPr>
    </w:p>
    <w:p w:rsidR="00FC5C33" w:rsidRDefault="00FC5C33" w:rsidP="00496A9C"/>
    <w:p w:rsidR="00FC5C33" w:rsidRDefault="00FC5C33" w:rsidP="00496A9C"/>
    <w:p w:rsidR="001D0C8A" w:rsidRPr="009901B0" w:rsidRDefault="001D0C8A" w:rsidP="009901B0">
      <w:pPr>
        <w:pStyle w:val="Heading1"/>
        <w:rPr>
          <w:szCs w:val="24"/>
        </w:rPr>
      </w:pPr>
      <w:r w:rsidRPr="009901B0">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F56EA2" w:rsidRPr="00A7057B" w:rsidRDefault="00F56EA2" w:rsidP="00F56EA2">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rsidR="001D0C8A" w:rsidRDefault="001D0C8A" w:rsidP="001D0C8A">
      <w:pPr>
        <w:widowControl w:val="0"/>
        <w:tabs>
          <w:tab w:val="left" w:pos="900"/>
          <w:tab w:val="left" w:pos="6360"/>
        </w:tabs>
        <w:spacing w:line="294" w:lineRule="exact"/>
        <w:rPr>
          <w:rFonts w:ascii="Times New Roman" w:hAnsi="Times New Roman" w:cs="Times New Roman"/>
          <w:b/>
          <w:bCs/>
          <w:color w:val="264D74"/>
          <w:sz w:val="24"/>
          <w:szCs w:val="24"/>
        </w:rPr>
      </w:pPr>
    </w:p>
    <w:p w:rsidR="001D0C8A" w:rsidRDefault="001D0C8A" w:rsidP="001D0C8A">
      <w:pPr>
        <w:pStyle w:val="Heading1"/>
        <w:rPr>
          <w:sz w:val="20"/>
          <w:szCs w:val="20"/>
        </w:rPr>
      </w:pPr>
      <w:r w:rsidRPr="009901B0">
        <w:t>Compliance Findings Summary</w:t>
      </w:r>
      <w:r>
        <w:t xml:space="preserve"> </w:t>
      </w:r>
      <w:r w:rsidRPr="001F77C7">
        <w:rPr>
          <w:sz w:val="20"/>
          <w:szCs w:val="20"/>
        </w:rPr>
        <w:t>(to be filled out by auditor)</w:t>
      </w:r>
    </w:p>
    <w:p w:rsidR="00FC5C33" w:rsidRPr="00FC5C33" w:rsidRDefault="00FC5C33" w:rsidP="00FC5C33"/>
    <w:tbl>
      <w:tblPr>
        <w:tblW w:w="0" w:type="auto"/>
        <w:tblLook w:val="00A0" w:firstRow="1" w:lastRow="0" w:firstColumn="1" w:lastColumn="0" w:noHBand="0" w:noVBand="0"/>
      </w:tblPr>
      <w:tblGrid>
        <w:gridCol w:w="692"/>
        <w:gridCol w:w="458"/>
        <w:gridCol w:w="572"/>
        <w:gridCol w:w="737"/>
        <w:gridCol w:w="563"/>
        <w:gridCol w:w="7994"/>
      </w:tblGrid>
      <w:tr w:rsidR="007D2FD5" w:rsidRPr="008374A0" w:rsidTr="007D2FD5">
        <w:tc>
          <w:tcPr>
            <w:tcW w:w="692" w:type="dxa"/>
            <w:tcBorders>
              <w:top w:val="single" w:sz="4" w:space="0" w:color="548DD4"/>
              <w:bottom w:val="single" w:sz="4" w:space="0" w:color="548DD4"/>
            </w:tcBorders>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D2FD5" w:rsidRPr="008374A0" w:rsidTr="007D2FD5">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7D2FD5"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BE5F1"/>
          </w:tcPr>
          <w:p w:rsidR="007D2FD5" w:rsidRPr="008374A0" w:rsidRDefault="007D2FD5"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C23F15">
        <w:rPr>
          <w:rFonts w:ascii="Times New Roman" w:hAnsi="Times New Roman" w:cs="Times New Roman"/>
          <w:b/>
          <w:sz w:val="24"/>
          <w:szCs w:val="24"/>
        </w:rPr>
        <w:t>August 2010</w:t>
      </w:r>
    </w:p>
    <w:p w:rsidR="007B5AA7" w:rsidRPr="007B5AA7" w:rsidRDefault="00AF728E"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MOD-030-2</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C23F15" w:rsidRDefault="00C23F15" w:rsidP="00635DEF">
      <w:pPr>
        <w:rPr>
          <w:rFonts w:ascii="Times New Roman" w:hAnsi="Times New Roman" w:cs="Times New Roman"/>
          <w:b/>
          <w:sz w:val="24"/>
          <w:szCs w:val="24"/>
        </w:rPr>
      </w:pPr>
      <w:r>
        <w:rPr>
          <w:rFonts w:ascii="Times New Roman" w:hAnsi="Times New Roman" w:cs="Times New Roman"/>
          <w:b/>
          <w:sz w:val="24"/>
          <w:szCs w:val="24"/>
        </w:rPr>
        <w:t>Order 729- Order on ATC</w:t>
      </w:r>
    </w:p>
    <w:p w:rsidR="00C23F15" w:rsidRDefault="00C23F15" w:rsidP="00635DEF">
      <w:pPr>
        <w:rPr>
          <w:rFonts w:ascii="Times New Roman" w:hAnsi="Times New Roman" w:cs="Times New Roman"/>
          <w:b/>
          <w:sz w:val="24"/>
          <w:szCs w:val="24"/>
        </w:rPr>
      </w:pPr>
      <w:r>
        <w:rPr>
          <w:rFonts w:ascii="Times New Roman" w:hAnsi="Times New Roman" w:cs="Times New Roman"/>
          <w:b/>
          <w:sz w:val="24"/>
          <w:szCs w:val="24"/>
        </w:rPr>
        <w:t>(November 24, 2009)</w:t>
      </w:r>
    </w:p>
    <w:p w:rsidR="00C23F15" w:rsidRDefault="00C23F15" w:rsidP="00C23F15">
      <w:pPr>
        <w:rPr>
          <w:rFonts w:ascii="Times New Roman" w:hAnsi="Times New Roman" w:cs="Times New Roman"/>
          <w:sz w:val="24"/>
          <w:szCs w:val="24"/>
        </w:rPr>
      </w:pPr>
      <w:r w:rsidRPr="003D223A">
        <w:rPr>
          <w:rFonts w:ascii="Times New Roman" w:hAnsi="Times New Roman" w:cs="Times New Roman"/>
          <w:sz w:val="24"/>
          <w:szCs w:val="24"/>
        </w:rPr>
        <w:t>179. We agree that, in order to be useful, hourly, daily</w:t>
      </w:r>
      <w:r w:rsidR="003D223A" w:rsidRPr="003D223A">
        <w:rPr>
          <w:rFonts w:ascii="Times New Roman" w:hAnsi="Times New Roman" w:cs="Times New Roman"/>
          <w:sz w:val="24"/>
          <w:szCs w:val="24"/>
        </w:rPr>
        <w:t xml:space="preserve"> and monthly available transfer </w:t>
      </w:r>
      <w:r w:rsidRPr="003D223A">
        <w:rPr>
          <w:rFonts w:ascii="Times New Roman" w:hAnsi="Times New Roman" w:cs="Times New Roman"/>
          <w:sz w:val="24"/>
          <w:szCs w:val="24"/>
        </w:rPr>
        <w:t>capability and available flowgate capability values m</w:t>
      </w:r>
      <w:r w:rsidR="003D223A" w:rsidRPr="003D223A">
        <w:rPr>
          <w:rFonts w:ascii="Times New Roman" w:hAnsi="Times New Roman" w:cs="Times New Roman"/>
          <w:sz w:val="24"/>
          <w:szCs w:val="24"/>
        </w:rPr>
        <w:t xml:space="preserve">ust be calculated and posted in </w:t>
      </w:r>
      <w:r w:rsidRPr="003D223A">
        <w:rPr>
          <w:rFonts w:ascii="Times New Roman" w:hAnsi="Times New Roman" w:cs="Times New Roman"/>
          <w:sz w:val="24"/>
          <w:szCs w:val="24"/>
        </w:rPr>
        <w:t xml:space="preserve">advance of the relevant time period. Requirement </w:t>
      </w:r>
      <w:r w:rsidR="003D223A" w:rsidRPr="003D223A">
        <w:rPr>
          <w:rFonts w:ascii="Times New Roman" w:hAnsi="Times New Roman" w:cs="Times New Roman"/>
          <w:sz w:val="24"/>
          <w:szCs w:val="24"/>
        </w:rPr>
        <w:t xml:space="preserve">R8 of MOD-001-1 and Requirement </w:t>
      </w:r>
      <w:r w:rsidRPr="003D223A">
        <w:rPr>
          <w:rFonts w:ascii="Times New Roman" w:hAnsi="Times New Roman" w:cs="Times New Roman"/>
          <w:sz w:val="24"/>
          <w:szCs w:val="24"/>
        </w:rPr>
        <w:t>R10 of MOD-030-2 require that such posting will occu</w:t>
      </w:r>
      <w:r w:rsidR="003D223A" w:rsidRPr="003D223A">
        <w:rPr>
          <w:rFonts w:ascii="Times New Roman" w:hAnsi="Times New Roman" w:cs="Times New Roman"/>
          <w:sz w:val="24"/>
          <w:szCs w:val="24"/>
        </w:rPr>
        <w:t xml:space="preserve">r far enough in advance to meet </w:t>
      </w:r>
      <w:r w:rsidRPr="003D223A">
        <w:rPr>
          <w:rFonts w:ascii="Times New Roman" w:hAnsi="Times New Roman" w:cs="Times New Roman"/>
          <w:sz w:val="24"/>
          <w:szCs w:val="24"/>
        </w:rPr>
        <w:t>this need. With respect to Entegra’s request rega</w:t>
      </w:r>
      <w:r w:rsidR="003D223A" w:rsidRPr="003D223A">
        <w:rPr>
          <w:rFonts w:ascii="Times New Roman" w:hAnsi="Times New Roman" w:cs="Times New Roman"/>
          <w:sz w:val="24"/>
          <w:szCs w:val="24"/>
        </w:rPr>
        <w:t xml:space="preserve">rding more frequent updates for </w:t>
      </w:r>
      <w:r w:rsidRPr="003D223A">
        <w:rPr>
          <w:rFonts w:ascii="Times New Roman" w:hAnsi="Times New Roman" w:cs="Times New Roman"/>
          <w:sz w:val="24"/>
          <w:szCs w:val="24"/>
        </w:rPr>
        <w:t>constrained facilities, we direct the ERO to consider this suggestion through its</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Reliability Standards development process. Further, we agree with Cottonwood</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regarding unscheduled or unanticipated events. Therefore, pursuant to section 215(d)(5)</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of the FPA and section 39.5(f) of our regulations, we direct the ERO to develop</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modifications to MOD-001-1 and MOD-030-2 to clarify that material changes in system</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conditions will trigger an update whenever practical.</w:t>
      </w:r>
      <w:r w:rsidR="003D223A" w:rsidRPr="003D223A">
        <w:rPr>
          <w:rFonts w:ascii="Times New Roman" w:hAnsi="Times New Roman" w:cs="Times New Roman"/>
          <w:sz w:val="24"/>
          <w:szCs w:val="24"/>
        </w:rPr>
        <w:t xml:space="preserve"> Finally, we clarify that these </w:t>
      </w:r>
      <w:r w:rsidRPr="003D223A">
        <w:rPr>
          <w:rFonts w:ascii="Times New Roman" w:hAnsi="Times New Roman" w:cs="Times New Roman"/>
          <w:sz w:val="24"/>
          <w:szCs w:val="24"/>
        </w:rPr>
        <w:t>Reliability Standards shall not be used as a “safe harbor”</w:t>
      </w:r>
      <w:r w:rsidR="003D223A" w:rsidRPr="003D223A">
        <w:rPr>
          <w:rFonts w:ascii="Times New Roman" w:hAnsi="Times New Roman" w:cs="Times New Roman"/>
          <w:sz w:val="24"/>
          <w:szCs w:val="24"/>
        </w:rPr>
        <w:t xml:space="preserve"> to avoid other, more stringent </w:t>
      </w:r>
      <w:r w:rsidRPr="003D223A">
        <w:rPr>
          <w:rFonts w:ascii="Times New Roman" w:hAnsi="Times New Roman" w:cs="Times New Roman"/>
          <w:sz w:val="24"/>
          <w:szCs w:val="24"/>
        </w:rPr>
        <w:t>reporting or update requirements.</w:t>
      </w:r>
    </w:p>
    <w:p w:rsidR="00511530" w:rsidRDefault="00511530" w:rsidP="00C23F15">
      <w:pPr>
        <w:rPr>
          <w:rFonts w:ascii="Times New Roman" w:hAnsi="Times New Roman" w:cs="Times New Roman"/>
          <w:sz w:val="24"/>
          <w:szCs w:val="24"/>
        </w:rPr>
      </w:pPr>
    </w:p>
    <w:p w:rsidR="00511530" w:rsidRPr="00511530" w:rsidRDefault="00511530" w:rsidP="00511530">
      <w:pPr>
        <w:rPr>
          <w:rFonts w:ascii="Times New Roman" w:hAnsi="Times New Roman" w:cs="Times New Roman"/>
          <w:sz w:val="24"/>
          <w:szCs w:val="24"/>
        </w:rPr>
      </w:pPr>
      <w:r w:rsidRPr="00511530">
        <w:rPr>
          <w:rFonts w:ascii="Times New Roman" w:hAnsi="Times New Roman" w:cs="Times New Roman"/>
          <w:sz w:val="24"/>
          <w:szCs w:val="24"/>
        </w:rPr>
        <w:t>250. The Commission finds that, under sub-requirements R2.4 and R2.5, transmission operators are not required to update system operating limits of each flowgate when establishing the annual total flowgate capability. However, as per sub-requirement R2.5.1, the transmission operator should update the total flowgate capability within seven calendars days of the notification if it is notified of a change in the rating by the transmission owner that would affect the total flowgate capability of a flowgate used in the available flowgate capability process.</w:t>
      </w:r>
    </w:p>
    <w:p w:rsidR="00C23F15" w:rsidRPr="003D223A" w:rsidRDefault="00C23F15" w:rsidP="00C23F15">
      <w:pPr>
        <w:rPr>
          <w:rFonts w:ascii="Times New Roman" w:hAnsi="Times New Roman" w:cs="Times New Roman"/>
          <w:sz w:val="24"/>
          <w:szCs w:val="24"/>
        </w:rPr>
      </w:pPr>
    </w:p>
    <w:p w:rsidR="00635DEF" w:rsidRDefault="00C23F15" w:rsidP="00C23F15">
      <w:pPr>
        <w:rPr>
          <w:rFonts w:ascii="Times New Roman" w:hAnsi="Times New Roman" w:cs="Times New Roman"/>
          <w:sz w:val="24"/>
          <w:szCs w:val="24"/>
        </w:rPr>
      </w:pPr>
      <w:r w:rsidRPr="003D223A">
        <w:rPr>
          <w:rFonts w:ascii="Times New Roman" w:hAnsi="Times New Roman" w:cs="Times New Roman"/>
          <w:sz w:val="24"/>
          <w:szCs w:val="24"/>
        </w:rPr>
        <w:t>253. The Commission finds that sub-requirements R3.</w:t>
      </w:r>
      <w:r w:rsidR="003D223A" w:rsidRPr="003D223A">
        <w:rPr>
          <w:rFonts w:ascii="Times New Roman" w:hAnsi="Times New Roman" w:cs="Times New Roman"/>
          <w:sz w:val="24"/>
          <w:szCs w:val="24"/>
        </w:rPr>
        <w:t xml:space="preserve">2 and R3.3 set the frequency by </w:t>
      </w:r>
      <w:r w:rsidRPr="003D223A">
        <w:rPr>
          <w:rFonts w:ascii="Times New Roman" w:hAnsi="Times New Roman" w:cs="Times New Roman"/>
          <w:sz w:val="24"/>
          <w:szCs w:val="24"/>
        </w:rPr>
        <w:t>which the transmission model used in the available flowgat</w:t>
      </w:r>
      <w:r w:rsidR="003D223A" w:rsidRPr="003D223A">
        <w:rPr>
          <w:rFonts w:ascii="Times New Roman" w:hAnsi="Times New Roman" w:cs="Times New Roman"/>
          <w:sz w:val="24"/>
          <w:szCs w:val="24"/>
        </w:rPr>
        <w:t xml:space="preserve">e capability calculations needs </w:t>
      </w:r>
      <w:r w:rsidRPr="003D223A">
        <w:rPr>
          <w:rFonts w:ascii="Times New Roman" w:hAnsi="Times New Roman" w:cs="Times New Roman"/>
          <w:sz w:val="24"/>
          <w:szCs w:val="24"/>
        </w:rPr>
        <w:t>to be updated. Transmission operators are not required t</w:t>
      </w:r>
      <w:r w:rsidR="003D223A" w:rsidRPr="003D223A">
        <w:rPr>
          <w:rFonts w:ascii="Times New Roman" w:hAnsi="Times New Roman" w:cs="Times New Roman"/>
          <w:sz w:val="24"/>
          <w:szCs w:val="24"/>
        </w:rPr>
        <w:t xml:space="preserve">o update the transmission model </w:t>
      </w:r>
      <w:r w:rsidRPr="003D223A">
        <w:rPr>
          <w:rFonts w:ascii="Times New Roman" w:hAnsi="Times New Roman" w:cs="Times New Roman"/>
          <w:sz w:val="24"/>
          <w:szCs w:val="24"/>
        </w:rPr>
        <w:t>more frequently than prescribed in these sub-requi</w:t>
      </w:r>
      <w:r w:rsidR="003D223A" w:rsidRPr="003D223A">
        <w:rPr>
          <w:rFonts w:ascii="Times New Roman" w:hAnsi="Times New Roman" w:cs="Times New Roman"/>
          <w:sz w:val="24"/>
          <w:szCs w:val="24"/>
        </w:rPr>
        <w:t xml:space="preserve">rements. Under requirement R10, </w:t>
      </w:r>
      <w:r w:rsidRPr="003D223A">
        <w:rPr>
          <w:rFonts w:ascii="Times New Roman" w:hAnsi="Times New Roman" w:cs="Times New Roman"/>
          <w:sz w:val="24"/>
          <w:szCs w:val="24"/>
        </w:rPr>
        <w:t xml:space="preserve">transmission service providers must use the </w:t>
      </w:r>
      <w:r w:rsidR="003D223A" w:rsidRPr="003D223A">
        <w:rPr>
          <w:rFonts w:ascii="Times New Roman" w:hAnsi="Times New Roman" w:cs="Times New Roman"/>
          <w:sz w:val="24"/>
          <w:szCs w:val="24"/>
        </w:rPr>
        <w:t xml:space="preserve">transmission models provided by </w:t>
      </w:r>
      <w:r w:rsidRPr="003D223A">
        <w:rPr>
          <w:rFonts w:ascii="Times New Roman" w:hAnsi="Times New Roman" w:cs="Times New Roman"/>
          <w:sz w:val="24"/>
          <w:szCs w:val="24"/>
        </w:rPr>
        <w:t>transmission operators to recalculate available flowgate capability on a more frequent basis, i.e., hourly, once per hour; daily, once per da</w:t>
      </w:r>
      <w:r w:rsidR="003D223A" w:rsidRPr="003D223A">
        <w:rPr>
          <w:rFonts w:ascii="Times New Roman" w:hAnsi="Times New Roman" w:cs="Times New Roman"/>
          <w:sz w:val="24"/>
          <w:szCs w:val="24"/>
        </w:rPr>
        <w:t xml:space="preserve">y; and, monthly, once per week. </w:t>
      </w:r>
      <w:r w:rsidRPr="003D223A">
        <w:rPr>
          <w:rFonts w:ascii="Times New Roman" w:hAnsi="Times New Roman" w:cs="Times New Roman"/>
          <w:sz w:val="24"/>
          <w:szCs w:val="24"/>
        </w:rPr>
        <w:t>A</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transmission service provider’s obligations under Requirement R10 should not require</w:t>
      </w:r>
      <w:r w:rsidR="003D223A" w:rsidRPr="003D223A">
        <w:rPr>
          <w:rFonts w:ascii="Times New Roman" w:hAnsi="Times New Roman" w:cs="Times New Roman"/>
          <w:sz w:val="24"/>
          <w:szCs w:val="24"/>
        </w:rPr>
        <w:t xml:space="preserve"> </w:t>
      </w:r>
      <w:r w:rsidRPr="003D223A">
        <w:rPr>
          <w:rFonts w:ascii="Times New Roman" w:hAnsi="Times New Roman" w:cs="Times New Roman"/>
          <w:sz w:val="24"/>
          <w:szCs w:val="24"/>
        </w:rPr>
        <w:t>transmission operators to update transmission models an</w:t>
      </w:r>
      <w:r w:rsidR="003D223A" w:rsidRPr="003D223A">
        <w:rPr>
          <w:rFonts w:ascii="Times New Roman" w:hAnsi="Times New Roman" w:cs="Times New Roman"/>
          <w:sz w:val="24"/>
          <w:szCs w:val="24"/>
        </w:rPr>
        <w:t xml:space="preserve">y more frequently than required </w:t>
      </w:r>
      <w:r w:rsidRPr="003D223A">
        <w:rPr>
          <w:rFonts w:ascii="Times New Roman" w:hAnsi="Times New Roman" w:cs="Times New Roman"/>
          <w:sz w:val="24"/>
          <w:szCs w:val="24"/>
        </w:rPr>
        <w:t>in sub-requirements R3.2 and R3.3.</w:t>
      </w:r>
    </w:p>
    <w:p w:rsidR="00511530" w:rsidRDefault="00511530" w:rsidP="00C23F15">
      <w:pPr>
        <w:rPr>
          <w:rFonts w:ascii="Times New Roman" w:hAnsi="Times New Roman" w:cs="Times New Roman"/>
          <w:sz w:val="24"/>
          <w:szCs w:val="24"/>
        </w:rPr>
      </w:pPr>
    </w:p>
    <w:p w:rsidR="00511530" w:rsidRPr="00511530" w:rsidRDefault="00511530" w:rsidP="00511530">
      <w:pPr>
        <w:rPr>
          <w:rFonts w:ascii="Times New Roman" w:hAnsi="Times New Roman" w:cs="Times New Roman"/>
          <w:sz w:val="24"/>
          <w:szCs w:val="24"/>
        </w:rPr>
      </w:pPr>
      <w:r w:rsidRPr="00511530">
        <w:rPr>
          <w:rFonts w:ascii="Times New Roman" w:hAnsi="Times New Roman" w:cs="Times New Roman"/>
          <w:sz w:val="24"/>
          <w:szCs w:val="24"/>
        </w:rPr>
        <w:t>259. Under Requirements R6 and R7 of MOD-030-2, a transmission provider must sum the impact of certain defined transmission commitments as well as other firm and nonfarm services determined by the TSP. Relevant impact is undefined as are “other” firm and non-firm services. Thus, there is potential for a transmission service provider to overstate or understate existing transmission commitments. However, this concern is mitigated by fact that, under MOD-001-1 Requirement R2, transmission service providers must recalculate available transfer capability or available flowgate capability (which include existing transmission commitments) for specific time periods. Entities are also required to make their assumptions available. In addition, in measures M13 and M14 of MOD-030-2, NERC states that a recalculated existing transmission commitment value that is within 15 percent or 15 MW, whichever is greater, of the originally calculated values, is evidence that the transmission service provider used the requirements defined in R6 and R7. We therefore decline to direct the modifications proposed.</w:t>
      </w:r>
    </w:p>
    <w:p w:rsidR="00C23F15" w:rsidRPr="003D223A" w:rsidRDefault="00C23F15" w:rsidP="00C23F15">
      <w:pPr>
        <w:rPr>
          <w:rFonts w:ascii="Times New Roman" w:hAnsi="Times New Roman" w:cs="Times New Roman"/>
          <w:sz w:val="24"/>
          <w:szCs w:val="24"/>
        </w:rPr>
      </w:pPr>
    </w:p>
    <w:p w:rsidR="00C23F15" w:rsidRPr="003D223A" w:rsidRDefault="00C23F15" w:rsidP="00C23F15">
      <w:pPr>
        <w:rPr>
          <w:rFonts w:ascii="Times New Roman" w:hAnsi="Times New Roman" w:cs="Times New Roman"/>
          <w:sz w:val="24"/>
          <w:szCs w:val="24"/>
        </w:rPr>
      </w:pPr>
      <w:r w:rsidRPr="003D223A">
        <w:rPr>
          <w:rFonts w:ascii="Times New Roman" w:hAnsi="Times New Roman" w:cs="Times New Roman"/>
          <w:sz w:val="24"/>
          <w:szCs w:val="24"/>
        </w:rPr>
        <w:t>269. As noted above, the Commission approves the pro</w:t>
      </w:r>
      <w:r w:rsidR="003D223A" w:rsidRPr="003D223A">
        <w:rPr>
          <w:rFonts w:ascii="Times New Roman" w:hAnsi="Times New Roman" w:cs="Times New Roman"/>
          <w:sz w:val="24"/>
          <w:szCs w:val="24"/>
        </w:rPr>
        <w:t xml:space="preserve">posal to make these Reliability </w:t>
      </w:r>
      <w:r w:rsidRPr="003D223A">
        <w:rPr>
          <w:rFonts w:ascii="Times New Roman" w:hAnsi="Times New Roman" w:cs="Times New Roman"/>
          <w:sz w:val="24"/>
          <w:szCs w:val="24"/>
        </w:rPr>
        <w:t xml:space="preserve">Standards effective on the first day of the first calendar quarter that is twelve </w:t>
      </w:r>
      <w:r w:rsidR="003D223A" w:rsidRPr="003D223A">
        <w:rPr>
          <w:rFonts w:ascii="Times New Roman" w:hAnsi="Times New Roman" w:cs="Times New Roman"/>
          <w:sz w:val="24"/>
          <w:szCs w:val="24"/>
        </w:rPr>
        <w:t xml:space="preserve">months beyond the date that the </w:t>
      </w:r>
      <w:r w:rsidRPr="003D223A">
        <w:rPr>
          <w:rFonts w:ascii="Times New Roman" w:hAnsi="Times New Roman" w:cs="Times New Roman"/>
          <w:sz w:val="24"/>
          <w:szCs w:val="24"/>
        </w:rPr>
        <w:t>Reliability Standards are approv</w:t>
      </w:r>
      <w:r w:rsidR="003D223A" w:rsidRPr="003D223A">
        <w:rPr>
          <w:rFonts w:ascii="Times New Roman" w:hAnsi="Times New Roman" w:cs="Times New Roman"/>
          <w:sz w:val="24"/>
          <w:szCs w:val="24"/>
        </w:rPr>
        <w:t xml:space="preserve">ed by all applicable regulatory </w:t>
      </w:r>
      <w:r w:rsidRPr="003D223A">
        <w:rPr>
          <w:rFonts w:ascii="Times New Roman" w:hAnsi="Times New Roman" w:cs="Times New Roman"/>
          <w:sz w:val="24"/>
          <w:szCs w:val="24"/>
        </w:rPr>
        <w:t>authorities. Although MOD-030-2 defines its effec</w:t>
      </w:r>
      <w:r w:rsidR="003D223A" w:rsidRPr="003D223A">
        <w:rPr>
          <w:rFonts w:ascii="Times New Roman" w:hAnsi="Times New Roman" w:cs="Times New Roman"/>
          <w:sz w:val="24"/>
          <w:szCs w:val="24"/>
        </w:rPr>
        <w:t xml:space="preserve">tive date with reference to the </w:t>
      </w:r>
      <w:r w:rsidRPr="003D223A">
        <w:rPr>
          <w:rFonts w:ascii="Times New Roman" w:hAnsi="Times New Roman" w:cs="Times New Roman"/>
          <w:sz w:val="24"/>
          <w:szCs w:val="24"/>
        </w:rPr>
        <w:t>effective date of MOD-030-1, the Commission finds that</w:t>
      </w:r>
      <w:r w:rsidR="003D223A" w:rsidRPr="003D223A">
        <w:rPr>
          <w:rFonts w:ascii="Times New Roman" w:hAnsi="Times New Roman" w:cs="Times New Roman"/>
          <w:sz w:val="24"/>
          <w:szCs w:val="24"/>
        </w:rPr>
        <w:t xml:space="preserve"> this direction is sufficiently </w:t>
      </w:r>
      <w:r w:rsidRPr="003D223A">
        <w:rPr>
          <w:rFonts w:ascii="Times New Roman" w:hAnsi="Times New Roman" w:cs="Times New Roman"/>
          <w:sz w:val="24"/>
          <w:szCs w:val="24"/>
        </w:rPr>
        <w:t>clear in the context of the current proceeding. To the e</w:t>
      </w:r>
      <w:r w:rsidR="003D223A" w:rsidRPr="003D223A">
        <w:rPr>
          <w:rFonts w:ascii="Times New Roman" w:hAnsi="Times New Roman" w:cs="Times New Roman"/>
          <w:sz w:val="24"/>
          <w:szCs w:val="24"/>
        </w:rPr>
        <w:t xml:space="preserve">xtent necessary, we clarify </w:t>
      </w:r>
      <w:r w:rsidRPr="003D223A">
        <w:rPr>
          <w:rFonts w:ascii="Times New Roman" w:hAnsi="Times New Roman" w:cs="Times New Roman"/>
          <w:sz w:val="24"/>
          <w:szCs w:val="24"/>
        </w:rPr>
        <w:t>MOD-030-2 shall become effective on the first day of the</w:t>
      </w:r>
      <w:r w:rsidR="003D223A" w:rsidRPr="003D223A">
        <w:rPr>
          <w:rFonts w:ascii="Times New Roman" w:hAnsi="Times New Roman" w:cs="Times New Roman"/>
          <w:sz w:val="24"/>
          <w:szCs w:val="24"/>
        </w:rPr>
        <w:t xml:space="preserve"> first calendar quarter that is </w:t>
      </w:r>
      <w:r w:rsidRPr="003D223A">
        <w:rPr>
          <w:rFonts w:ascii="Times New Roman" w:hAnsi="Times New Roman" w:cs="Times New Roman"/>
          <w:sz w:val="24"/>
          <w:szCs w:val="24"/>
        </w:rPr>
        <w:t>twelve months beyond the date that the Reliabilit</w:t>
      </w:r>
      <w:r w:rsidR="003D223A" w:rsidRPr="003D223A">
        <w:rPr>
          <w:rFonts w:ascii="Times New Roman" w:hAnsi="Times New Roman" w:cs="Times New Roman"/>
          <w:sz w:val="24"/>
          <w:szCs w:val="24"/>
        </w:rPr>
        <w:t xml:space="preserve">y Standards are approved by all </w:t>
      </w:r>
      <w:r w:rsidRPr="003D223A">
        <w:rPr>
          <w:rFonts w:ascii="Times New Roman" w:hAnsi="Times New Roman" w:cs="Times New Roman"/>
          <w:sz w:val="24"/>
          <w:szCs w:val="24"/>
        </w:rPr>
        <w:t>applicable regulatory authorities. The Commission also dire</w:t>
      </w:r>
      <w:r w:rsidR="003D223A" w:rsidRPr="003D223A">
        <w:rPr>
          <w:rFonts w:ascii="Times New Roman" w:hAnsi="Times New Roman" w:cs="Times New Roman"/>
          <w:sz w:val="24"/>
          <w:szCs w:val="24"/>
        </w:rPr>
        <w:t xml:space="preserve">cts the ERO to make explicit </w:t>
      </w:r>
      <w:r w:rsidRPr="003D223A">
        <w:rPr>
          <w:rFonts w:ascii="Times New Roman" w:hAnsi="Times New Roman" w:cs="Times New Roman"/>
          <w:sz w:val="24"/>
          <w:szCs w:val="24"/>
        </w:rPr>
        <w:t>such detail in any future version of this or any other Reliability Standard.</w:t>
      </w:r>
    </w:p>
    <w:p w:rsidR="00635DEF" w:rsidRDefault="00635DEF" w:rsidP="004C005C">
      <w:pPr>
        <w:widowControl w:val="0"/>
        <w:tabs>
          <w:tab w:val="left" w:pos="60"/>
        </w:tabs>
        <w:spacing w:line="200" w:lineRule="exact"/>
        <w:rPr>
          <w:rFonts w:ascii="Times New Roman" w:hAnsi="Times New Roman" w:cs="Times New Roman"/>
          <w:sz w:val="24"/>
          <w:szCs w:val="24"/>
        </w:rPr>
      </w:pPr>
    </w:p>
    <w:p w:rsidR="00AF728E" w:rsidRDefault="00AF728E" w:rsidP="004C005C">
      <w:pPr>
        <w:widowControl w:val="0"/>
        <w:tabs>
          <w:tab w:val="left" w:pos="60"/>
        </w:tabs>
        <w:spacing w:line="200" w:lineRule="exact"/>
        <w:rPr>
          <w:rFonts w:ascii="Times New Roman" w:hAnsi="Times New Roman" w:cs="Times New Roman"/>
          <w:sz w:val="24"/>
          <w:szCs w:val="24"/>
        </w:rPr>
      </w:pPr>
    </w:p>
    <w:p w:rsidR="00562CB4" w:rsidRDefault="00562CB4" w:rsidP="004C005C">
      <w:pPr>
        <w:widowControl w:val="0"/>
        <w:tabs>
          <w:tab w:val="left" w:pos="60"/>
        </w:tabs>
        <w:spacing w:line="200" w:lineRule="exact"/>
        <w:rPr>
          <w:rFonts w:ascii="Times New Roman" w:hAnsi="Times New Roman" w:cs="Times New Roman"/>
          <w:b/>
          <w:sz w:val="24"/>
          <w:szCs w:val="24"/>
        </w:rPr>
      </w:pPr>
      <w:r w:rsidRPr="00562CB4">
        <w:rPr>
          <w:rFonts w:ascii="Times New Roman" w:hAnsi="Times New Roman" w:cs="Times New Roman"/>
          <w:b/>
          <w:sz w:val="24"/>
          <w:szCs w:val="24"/>
        </w:rPr>
        <w:t>Order 729-A</w:t>
      </w:r>
      <w:r w:rsidR="00FC5C33">
        <w:rPr>
          <w:rFonts w:ascii="Times New Roman" w:hAnsi="Times New Roman" w:cs="Times New Roman"/>
          <w:b/>
          <w:sz w:val="24"/>
          <w:szCs w:val="24"/>
        </w:rPr>
        <w:t xml:space="preserve"> </w:t>
      </w:r>
      <w:r w:rsidRPr="00562CB4">
        <w:rPr>
          <w:rFonts w:ascii="Times New Roman" w:hAnsi="Times New Roman" w:cs="Times New Roman"/>
          <w:b/>
          <w:sz w:val="24"/>
          <w:szCs w:val="24"/>
        </w:rPr>
        <w:t>(May 5, 2010)</w:t>
      </w:r>
    </w:p>
    <w:p w:rsidR="00562CB4" w:rsidRDefault="00562CB4" w:rsidP="004C005C">
      <w:pPr>
        <w:widowControl w:val="0"/>
        <w:tabs>
          <w:tab w:val="left" w:pos="60"/>
        </w:tabs>
        <w:spacing w:line="200" w:lineRule="exact"/>
        <w:rPr>
          <w:rFonts w:ascii="Times New Roman" w:hAnsi="Times New Roman" w:cs="Times New Roman"/>
          <w:b/>
          <w:sz w:val="24"/>
          <w:szCs w:val="24"/>
        </w:rPr>
      </w:pPr>
    </w:p>
    <w:p w:rsidR="00562CB4" w:rsidRPr="00562CB4" w:rsidRDefault="00562CB4" w:rsidP="00562CB4">
      <w:pPr>
        <w:pStyle w:val="Default"/>
      </w:pPr>
      <w:r w:rsidRPr="00562CB4">
        <w:t xml:space="preserve">The Commission agrees that it could be difficult in some instances to enforce a requirement that hinges upon such phrases as “material changes” and “whenever practical.” Nevertheless, we believe that such modifications would be useful to ensure timely updates of available transfer or flowgate capability values. If the ERO is unable to modify the requirements of MOD-001-1 and MOD-030-2 to incorporate such language in a manner that sets clear criteria or measures of whether an entity is in compliance with the relevant Reliability Standard or cannot otherwise identify specific changes in system conditions that require an update, the ERO must, at a minimum, include this language in its measures of compliance associated with those Reliability Standards. </w:t>
      </w:r>
    </w:p>
    <w:p w:rsidR="00562CB4" w:rsidRDefault="00562CB4" w:rsidP="00562CB4">
      <w:pPr>
        <w:pStyle w:val="Default"/>
        <w:rPr>
          <w:sz w:val="26"/>
          <w:szCs w:val="26"/>
        </w:rPr>
      </w:pPr>
    </w:p>
    <w:p w:rsidR="00562CB4" w:rsidRPr="00562CB4" w:rsidRDefault="00562CB4" w:rsidP="004C005C">
      <w:pPr>
        <w:widowControl w:val="0"/>
        <w:tabs>
          <w:tab w:val="left" w:pos="60"/>
        </w:tabs>
        <w:spacing w:line="200" w:lineRule="exact"/>
        <w:rPr>
          <w:rFonts w:ascii="Times New Roman" w:hAnsi="Times New Roman" w:cs="Times New Roman"/>
          <w:b/>
          <w:sz w:val="24"/>
          <w:szCs w:val="24"/>
        </w:rPr>
      </w:pPr>
    </w:p>
    <w:p w:rsidR="00AF728E" w:rsidRDefault="00AF728E" w:rsidP="004C005C">
      <w:pPr>
        <w:widowControl w:val="0"/>
        <w:tabs>
          <w:tab w:val="left" w:pos="60"/>
        </w:tabs>
        <w:spacing w:line="200" w:lineRule="exact"/>
        <w:rPr>
          <w:rFonts w:ascii="Times New Roman" w:hAnsi="Times New Roman" w:cs="Times New Roman"/>
          <w:sz w:val="24"/>
          <w:szCs w:val="24"/>
        </w:rPr>
      </w:pPr>
    </w:p>
    <w:p w:rsidR="00AF728E" w:rsidRDefault="00AF728E" w:rsidP="00AF728E">
      <w:pPr>
        <w:pStyle w:val="Header"/>
        <w:jc w:val="right"/>
        <w:rPr>
          <w:rFonts w:ascii="Times New Roman" w:hAnsi="Times New Roman" w:cs="Times New Roman"/>
          <w:sz w:val="24"/>
          <w:szCs w:val="24"/>
        </w:rPr>
      </w:pPr>
    </w:p>
    <w:p w:rsidR="00AF728E" w:rsidRDefault="00AF728E" w:rsidP="00AF728E">
      <w:pPr>
        <w:pStyle w:val="Header"/>
        <w:jc w:val="right"/>
        <w:rPr>
          <w:rFonts w:ascii="Times New Roman" w:hAnsi="Times New Roman" w:cs="Times New Roman"/>
          <w:sz w:val="24"/>
          <w:szCs w:val="24"/>
        </w:rPr>
      </w:pPr>
    </w:p>
    <w:p w:rsidR="00AF728E" w:rsidRPr="0009057C" w:rsidRDefault="00AF728E" w:rsidP="00AF728E">
      <w:pPr>
        <w:rPr>
          <w:rFonts w:ascii="Times New Roman" w:hAnsi="Times New Roman" w:cs="Times New Roman"/>
          <w:b/>
          <w:sz w:val="24"/>
          <w:szCs w:val="24"/>
        </w:rPr>
      </w:pPr>
      <w:r>
        <w:rPr>
          <w:rFonts w:ascii="Times New Roman" w:hAnsi="Times New Roman" w:cs="Times New Roman"/>
          <w:b/>
          <w:sz w:val="24"/>
          <w:szCs w:val="24"/>
        </w:rPr>
        <w:t>Revision History</w:t>
      </w:r>
    </w:p>
    <w:p w:rsidR="00AF728E" w:rsidRDefault="00AF728E" w:rsidP="00AF728E">
      <w:pPr>
        <w:rPr>
          <w:rFonts w:ascii="Times New Roman" w:hAnsi="Times New Roman" w:cs="Times New Roman"/>
          <w:sz w:val="24"/>
          <w:szCs w:val="24"/>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972"/>
        <w:gridCol w:w="1800"/>
        <w:gridCol w:w="6300"/>
      </w:tblGrid>
      <w:tr w:rsidR="00AF728E" w:rsidRPr="00B2607F" w:rsidTr="009901B0">
        <w:tc>
          <w:tcPr>
            <w:tcW w:w="1016" w:type="dxa"/>
            <w:shd w:val="pct10" w:color="auto" w:fill="auto"/>
          </w:tcPr>
          <w:p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972" w:type="dxa"/>
            <w:shd w:val="pct10" w:color="auto" w:fill="auto"/>
          </w:tcPr>
          <w:p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800" w:type="dxa"/>
            <w:shd w:val="pct10" w:color="auto" w:fill="auto"/>
          </w:tcPr>
          <w:p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300" w:type="dxa"/>
            <w:shd w:val="pct10" w:color="auto" w:fill="auto"/>
          </w:tcPr>
          <w:p w:rsidR="00AF728E" w:rsidRPr="00B2607F" w:rsidRDefault="00AF728E" w:rsidP="00734AC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AF728E" w:rsidRPr="00B2607F" w:rsidTr="009901B0">
        <w:tc>
          <w:tcPr>
            <w:tcW w:w="1016" w:type="dxa"/>
          </w:tcPr>
          <w:p w:rsidR="00AF728E" w:rsidRPr="00B2607F" w:rsidRDefault="00AF728E" w:rsidP="00734AC8">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AF728E" w:rsidRPr="00B2607F" w:rsidRDefault="00AF728E" w:rsidP="00734AC8">
            <w:pPr>
              <w:rPr>
                <w:rFonts w:ascii="Times New Roman" w:hAnsi="Times New Roman" w:cs="Times New Roman"/>
                <w:sz w:val="24"/>
                <w:szCs w:val="24"/>
              </w:rPr>
            </w:pPr>
            <w:r>
              <w:rPr>
                <w:rFonts w:ascii="Times New Roman" w:hAnsi="Times New Roman" w:cs="Times New Roman"/>
                <w:sz w:val="24"/>
                <w:szCs w:val="24"/>
              </w:rPr>
              <w:t>July 2010</w:t>
            </w:r>
          </w:p>
        </w:tc>
        <w:tc>
          <w:tcPr>
            <w:tcW w:w="1800" w:type="dxa"/>
          </w:tcPr>
          <w:p w:rsidR="00AF728E" w:rsidRPr="00B2607F" w:rsidRDefault="00AF728E" w:rsidP="00734AC8">
            <w:pPr>
              <w:rPr>
                <w:rFonts w:ascii="Times New Roman" w:hAnsi="Times New Roman" w:cs="Times New Roman"/>
                <w:sz w:val="24"/>
                <w:szCs w:val="24"/>
              </w:rPr>
            </w:pPr>
            <w:r>
              <w:rPr>
                <w:rFonts w:ascii="Times New Roman" w:hAnsi="Times New Roman" w:cs="Times New Roman"/>
                <w:sz w:val="24"/>
                <w:szCs w:val="24"/>
              </w:rPr>
              <w:t>RSAW WG</w:t>
            </w:r>
          </w:p>
        </w:tc>
        <w:tc>
          <w:tcPr>
            <w:tcW w:w="6300" w:type="dxa"/>
          </w:tcPr>
          <w:p w:rsidR="00AF728E" w:rsidRPr="00B2607F" w:rsidRDefault="00AF728E" w:rsidP="00734AC8">
            <w:pPr>
              <w:rPr>
                <w:rFonts w:ascii="Times New Roman" w:hAnsi="Times New Roman" w:cs="Times New Roman"/>
                <w:sz w:val="24"/>
                <w:szCs w:val="24"/>
              </w:rPr>
            </w:pPr>
            <w:r>
              <w:rPr>
                <w:rFonts w:ascii="Times New Roman" w:hAnsi="Times New Roman" w:cs="Times New Roman"/>
                <w:sz w:val="24"/>
                <w:szCs w:val="24"/>
              </w:rPr>
              <w:t>New Document</w:t>
            </w:r>
            <w:r w:rsidR="009901B0">
              <w:rPr>
                <w:rFonts w:ascii="Times New Roman" w:hAnsi="Times New Roman" w:cs="Times New Roman"/>
                <w:sz w:val="24"/>
                <w:szCs w:val="24"/>
              </w:rPr>
              <w:t>.</w:t>
            </w:r>
          </w:p>
        </w:tc>
      </w:tr>
      <w:tr w:rsidR="00AF728E" w:rsidRPr="00B2607F" w:rsidTr="009901B0">
        <w:tc>
          <w:tcPr>
            <w:tcW w:w="1016" w:type="dxa"/>
          </w:tcPr>
          <w:p w:rsidR="00AF728E" w:rsidRPr="00B2607F" w:rsidRDefault="00FC5C33" w:rsidP="00734AC8">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AF728E" w:rsidRPr="00B2607F" w:rsidRDefault="00FC5C33" w:rsidP="00734AC8">
            <w:pPr>
              <w:rPr>
                <w:rFonts w:ascii="Times New Roman" w:hAnsi="Times New Roman" w:cs="Times New Roman"/>
                <w:sz w:val="24"/>
                <w:szCs w:val="24"/>
              </w:rPr>
            </w:pPr>
            <w:r>
              <w:rPr>
                <w:rFonts w:ascii="Times New Roman" w:hAnsi="Times New Roman" w:cs="Times New Roman"/>
                <w:sz w:val="24"/>
                <w:szCs w:val="24"/>
              </w:rPr>
              <w:t>September 2010</w:t>
            </w:r>
          </w:p>
        </w:tc>
        <w:tc>
          <w:tcPr>
            <w:tcW w:w="1800" w:type="dxa"/>
          </w:tcPr>
          <w:p w:rsidR="00AF728E" w:rsidRPr="00B2607F" w:rsidRDefault="00FC5C33" w:rsidP="00734AC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6300" w:type="dxa"/>
          </w:tcPr>
          <w:p w:rsidR="00AF728E" w:rsidRPr="00B2607F" w:rsidRDefault="00FC5C33" w:rsidP="00734AC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AF728E" w:rsidRPr="00B2607F" w:rsidTr="009901B0">
        <w:tc>
          <w:tcPr>
            <w:tcW w:w="1016" w:type="dxa"/>
          </w:tcPr>
          <w:p w:rsidR="00AF728E" w:rsidRPr="00B2607F" w:rsidRDefault="007D2FD5" w:rsidP="00734AC8">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AF728E" w:rsidRPr="00B2607F" w:rsidRDefault="007D2FD5" w:rsidP="00734AC8">
            <w:pPr>
              <w:rPr>
                <w:rFonts w:ascii="Times New Roman" w:hAnsi="Times New Roman" w:cs="Times New Roman"/>
                <w:sz w:val="24"/>
                <w:szCs w:val="24"/>
              </w:rPr>
            </w:pPr>
            <w:r>
              <w:rPr>
                <w:rFonts w:ascii="Times New Roman" w:hAnsi="Times New Roman" w:cs="Times New Roman"/>
                <w:sz w:val="24"/>
                <w:szCs w:val="24"/>
              </w:rPr>
              <w:t>Dec</w:t>
            </w:r>
            <w:r w:rsidR="009901B0">
              <w:rPr>
                <w:rFonts w:ascii="Times New Roman" w:hAnsi="Times New Roman" w:cs="Times New Roman"/>
                <w:sz w:val="24"/>
                <w:szCs w:val="24"/>
              </w:rPr>
              <w:t>ember</w:t>
            </w:r>
            <w:r>
              <w:rPr>
                <w:rFonts w:ascii="Times New Roman" w:hAnsi="Times New Roman" w:cs="Times New Roman"/>
                <w:sz w:val="24"/>
                <w:szCs w:val="24"/>
              </w:rPr>
              <w:t xml:space="preserve"> 2010</w:t>
            </w:r>
          </w:p>
        </w:tc>
        <w:tc>
          <w:tcPr>
            <w:tcW w:w="1800" w:type="dxa"/>
          </w:tcPr>
          <w:p w:rsidR="00AF728E" w:rsidRPr="00B2607F" w:rsidRDefault="007D2FD5" w:rsidP="00734AC8">
            <w:pPr>
              <w:rPr>
                <w:rFonts w:ascii="Times New Roman" w:hAnsi="Times New Roman" w:cs="Times New Roman"/>
                <w:sz w:val="24"/>
                <w:szCs w:val="24"/>
              </w:rPr>
            </w:pPr>
            <w:r>
              <w:rPr>
                <w:rFonts w:ascii="Times New Roman" w:hAnsi="Times New Roman" w:cs="Times New Roman"/>
                <w:sz w:val="24"/>
                <w:szCs w:val="24"/>
              </w:rPr>
              <w:t>QRSAW WG</w:t>
            </w:r>
          </w:p>
        </w:tc>
        <w:tc>
          <w:tcPr>
            <w:tcW w:w="6300" w:type="dxa"/>
          </w:tcPr>
          <w:p w:rsidR="00AF728E" w:rsidRPr="00B2607F" w:rsidRDefault="007D2FD5" w:rsidP="00734AC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9901B0">
              <w:rPr>
                <w:rFonts w:ascii="Times New Roman" w:hAnsi="Times New Roman" w:cs="Times New Roman"/>
                <w:sz w:val="24"/>
                <w:szCs w:val="24"/>
              </w:rPr>
              <w:t>.</w:t>
            </w:r>
          </w:p>
        </w:tc>
      </w:tr>
      <w:tr w:rsidR="009901B0" w:rsidTr="009901B0">
        <w:tc>
          <w:tcPr>
            <w:tcW w:w="1016" w:type="dxa"/>
            <w:tcBorders>
              <w:top w:val="single" w:sz="4" w:space="0" w:color="000000"/>
              <w:left w:val="single" w:sz="4" w:space="0" w:color="000000"/>
              <w:bottom w:val="single" w:sz="4" w:space="0" w:color="000000"/>
              <w:right w:val="single" w:sz="4" w:space="0" w:color="000000"/>
            </w:tcBorders>
          </w:tcPr>
          <w:p w:rsidR="009901B0" w:rsidRDefault="009901B0" w:rsidP="003D3735">
            <w:pPr>
              <w:jc w:val="center"/>
              <w:rPr>
                <w:rFonts w:ascii="Times New Roman" w:hAnsi="Times New Roman" w:cs="Times New Roman"/>
                <w:sz w:val="24"/>
                <w:szCs w:val="24"/>
              </w:rPr>
            </w:pPr>
            <w:r>
              <w:rPr>
                <w:rFonts w:ascii="Times New Roman" w:hAnsi="Times New Roman" w:cs="Times New Roman"/>
                <w:sz w:val="24"/>
                <w:szCs w:val="24"/>
              </w:rPr>
              <w:t>1</w:t>
            </w:r>
          </w:p>
        </w:tc>
        <w:tc>
          <w:tcPr>
            <w:tcW w:w="1972" w:type="dxa"/>
            <w:tcBorders>
              <w:top w:val="single" w:sz="4" w:space="0" w:color="000000"/>
              <w:left w:val="single" w:sz="4" w:space="0" w:color="000000"/>
              <w:bottom w:val="single" w:sz="4" w:space="0" w:color="000000"/>
              <w:right w:val="single" w:sz="4" w:space="0" w:color="000000"/>
            </w:tcBorders>
          </w:tcPr>
          <w:p w:rsidR="009901B0" w:rsidRDefault="009901B0" w:rsidP="003D3735">
            <w:pPr>
              <w:rPr>
                <w:rFonts w:ascii="Times New Roman" w:hAnsi="Times New Roman" w:cs="Times New Roman"/>
                <w:sz w:val="24"/>
                <w:szCs w:val="24"/>
              </w:rPr>
            </w:pPr>
            <w:r>
              <w:rPr>
                <w:rFonts w:ascii="Times New Roman" w:hAnsi="Times New Roman" w:cs="Times New Roman"/>
                <w:sz w:val="24"/>
                <w:szCs w:val="24"/>
              </w:rPr>
              <w:t>January 2011</w:t>
            </w:r>
          </w:p>
        </w:tc>
        <w:tc>
          <w:tcPr>
            <w:tcW w:w="1800" w:type="dxa"/>
            <w:tcBorders>
              <w:top w:val="single" w:sz="4" w:space="0" w:color="000000"/>
              <w:left w:val="single" w:sz="4" w:space="0" w:color="000000"/>
              <w:bottom w:val="single" w:sz="4" w:space="0" w:color="000000"/>
              <w:right w:val="single" w:sz="4" w:space="0" w:color="000000"/>
            </w:tcBorders>
          </w:tcPr>
          <w:p w:rsidR="009901B0" w:rsidRDefault="009901B0" w:rsidP="003D3735">
            <w:pPr>
              <w:rPr>
                <w:rFonts w:ascii="Times New Roman" w:hAnsi="Times New Roman" w:cs="Times New Roman"/>
                <w:sz w:val="24"/>
                <w:szCs w:val="24"/>
              </w:rPr>
            </w:pPr>
            <w:r>
              <w:rPr>
                <w:rFonts w:ascii="Times New Roman" w:hAnsi="Times New Roman" w:cs="Times New Roman"/>
                <w:sz w:val="24"/>
                <w:szCs w:val="24"/>
              </w:rPr>
              <w:t>Craig Struck</w:t>
            </w:r>
          </w:p>
        </w:tc>
        <w:tc>
          <w:tcPr>
            <w:tcW w:w="6300" w:type="dxa"/>
            <w:tcBorders>
              <w:top w:val="single" w:sz="4" w:space="0" w:color="000000"/>
              <w:left w:val="single" w:sz="4" w:space="0" w:color="000000"/>
              <w:bottom w:val="single" w:sz="4" w:space="0" w:color="000000"/>
              <w:right w:val="single" w:sz="4" w:space="0" w:color="000000"/>
            </w:tcBorders>
          </w:tcPr>
          <w:p w:rsidR="009901B0" w:rsidRDefault="009901B0" w:rsidP="003D3735">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AF728E" w:rsidRPr="00B2607F" w:rsidTr="009901B0">
        <w:tc>
          <w:tcPr>
            <w:tcW w:w="1016" w:type="dxa"/>
          </w:tcPr>
          <w:p w:rsidR="00AF728E" w:rsidRPr="00B2607F" w:rsidRDefault="00AF728E" w:rsidP="00734AC8">
            <w:pPr>
              <w:jc w:val="center"/>
              <w:rPr>
                <w:rFonts w:ascii="Times New Roman" w:hAnsi="Times New Roman" w:cs="Times New Roman"/>
                <w:sz w:val="24"/>
                <w:szCs w:val="24"/>
              </w:rPr>
            </w:pPr>
          </w:p>
        </w:tc>
        <w:tc>
          <w:tcPr>
            <w:tcW w:w="1972" w:type="dxa"/>
          </w:tcPr>
          <w:p w:rsidR="00AF728E" w:rsidRPr="00B2607F" w:rsidRDefault="00AF728E" w:rsidP="00734AC8">
            <w:pPr>
              <w:rPr>
                <w:rFonts w:ascii="Times New Roman" w:hAnsi="Times New Roman" w:cs="Times New Roman"/>
                <w:sz w:val="24"/>
                <w:szCs w:val="24"/>
              </w:rPr>
            </w:pPr>
          </w:p>
        </w:tc>
        <w:tc>
          <w:tcPr>
            <w:tcW w:w="1800" w:type="dxa"/>
          </w:tcPr>
          <w:p w:rsidR="00AF728E" w:rsidRPr="00B2607F" w:rsidRDefault="00AF728E" w:rsidP="00734AC8">
            <w:pPr>
              <w:rPr>
                <w:rFonts w:ascii="Times New Roman" w:hAnsi="Times New Roman" w:cs="Times New Roman"/>
                <w:sz w:val="24"/>
                <w:szCs w:val="24"/>
              </w:rPr>
            </w:pPr>
          </w:p>
        </w:tc>
        <w:tc>
          <w:tcPr>
            <w:tcW w:w="6300" w:type="dxa"/>
          </w:tcPr>
          <w:p w:rsidR="00AF728E" w:rsidRPr="00B2607F" w:rsidRDefault="00AF728E" w:rsidP="00734AC8">
            <w:pPr>
              <w:rPr>
                <w:rFonts w:ascii="Times New Roman" w:hAnsi="Times New Roman" w:cs="Times New Roman"/>
                <w:sz w:val="24"/>
                <w:szCs w:val="24"/>
              </w:rPr>
            </w:pPr>
          </w:p>
        </w:tc>
      </w:tr>
      <w:tr w:rsidR="00AF728E" w:rsidRPr="00B2607F" w:rsidTr="009901B0">
        <w:tc>
          <w:tcPr>
            <w:tcW w:w="1016" w:type="dxa"/>
          </w:tcPr>
          <w:p w:rsidR="00AF728E" w:rsidRPr="00B2607F" w:rsidRDefault="00AF728E" w:rsidP="00734AC8">
            <w:pPr>
              <w:jc w:val="center"/>
              <w:rPr>
                <w:rFonts w:ascii="Times New Roman" w:hAnsi="Times New Roman" w:cs="Times New Roman"/>
                <w:sz w:val="24"/>
                <w:szCs w:val="24"/>
              </w:rPr>
            </w:pPr>
          </w:p>
        </w:tc>
        <w:tc>
          <w:tcPr>
            <w:tcW w:w="1972" w:type="dxa"/>
          </w:tcPr>
          <w:p w:rsidR="00AF728E" w:rsidRPr="00B2607F" w:rsidRDefault="00AF728E" w:rsidP="00734AC8">
            <w:pPr>
              <w:rPr>
                <w:rFonts w:ascii="Times New Roman" w:hAnsi="Times New Roman" w:cs="Times New Roman"/>
                <w:sz w:val="24"/>
                <w:szCs w:val="24"/>
              </w:rPr>
            </w:pPr>
          </w:p>
        </w:tc>
        <w:tc>
          <w:tcPr>
            <w:tcW w:w="1800" w:type="dxa"/>
          </w:tcPr>
          <w:p w:rsidR="00AF728E" w:rsidRPr="00B2607F" w:rsidRDefault="00AF728E" w:rsidP="00734AC8">
            <w:pPr>
              <w:rPr>
                <w:rFonts w:ascii="Times New Roman" w:hAnsi="Times New Roman" w:cs="Times New Roman"/>
                <w:sz w:val="24"/>
                <w:szCs w:val="24"/>
              </w:rPr>
            </w:pPr>
          </w:p>
        </w:tc>
        <w:tc>
          <w:tcPr>
            <w:tcW w:w="6300" w:type="dxa"/>
          </w:tcPr>
          <w:p w:rsidR="00AF728E" w:rsidRPr="00B2607F" w:rsidRDefault="00AF728E" w:rsidP="00734AC8">
            <w:pPr>
              <w:rPr>
                <w:rFonts w:ascii="Times New Roman" w:hAnsi="Times New Roman" w:cs="Times New Roman"/>
                <w:sz w:val="24"/>
                <w:szCs w:val="24"/>
              </w:rPr>
            </w:pPr>
          </w:p>
        </w:tc>
      </w:tr>
      <w:tr w:rsidR="00AF728E" w:rsidRPr="00B2607F" w:rsidTr="009901B0">
        <w:tc>
          <w:tcPr>
            <w:tcW w:w="1016" w:type="dxa"/>
          </w:tcPr>
          <w:p w:rsidR="00AF728E" w:rsidRPr="00B2607F" w:rsidRDefault="00AF728E" w:rsidP="00734AC8">
            <w:pPr>
              <w:jc w:val="center"/>
              <w:rPr>
                <w:rFonts w:ascii="Times New Roman" w:hAnsi="Times New Roman" w:cs="Times New Roman"/>
                <w:sz w:val="24"/>
                <w:szCs w:val="24"/>
              </w:rPr>
            </w:pPr>
          </w:p>
        </w:tc>
        <w:tc>
          <w:tcPr>
            <w:tcW w:w="1972" w:type="dxa"/>
          </w:tcPr>
          <w:p w:rsidR="00AF728E" w:rsidRPr="00B2607F" w:rsidRDefault="00AF728E" w:rsidP="00734AC8">
            <w:pPr>
              <w:rPr>
                <w:rFonts w:ascii="Times New Roman" w:hAnsi="Times New Roman" w:cs="Times New Roman"/>
                <w:sz w:val="24"/>
                <w:szCs w:val="24"/>
              </w:rPr>
            </w:pPr>
          </w:p>
        </w:tc>
        <w:tc>
          <w:tcPr>
            <w:tcW w:w="1800" w:type="dxa"/>
          </w:tcPr>
          <w:p w:rsidR="00AF728E" w:rsidRPr="00B2607F" w:rsidRDefault="00AF728E" w:rsidP="00734AC8">
            <w:pPr>
              <w:rPr>
                <w:rFonts w:ascii="Times New Roman" w:hAnsi="Times New Roman" w:cs="Times New Roman"/>
                <w:sz w:val="24"/>
                <w:szCs w:val="24"/>
              </w:rPr>
            </w:pPr>
          </w:p>
        </w:tc>
        <w:tc>
          <w:tcPr>
            <w:tcW w:w="6300" w:type="dxa"/>
          </w:tcPr>
          <w:p w:rsidR="00AF728E" w:rsidRPr="00B2607F" w:rsidRDefault="00AF728E" w:rsidP="00734AC8">
            <w:pPr>
              <w:rPr>
                <w:rFonts w:ascii="Times New Roman" w:hAnsi="Times New Roman" w:cs="Times New Roman"/>
                <w:sz w:val="24"/>
                <w:szCs w:val="24"/>
              </w:rPr>
            </w:pPr>
          </w:p>
        </w:tc>
      </w:tr>
    </w:tbl>
    <w:p w:rsidR="00AF728E" w:rsidRPr="004550E5" w:rsidRDefault="00AF728E" w:rsidP="009901B0">
      <w:pPr>
        <w:widowControl w:val="0"/>
        <w:spacing w:line="244" w:lineRule="exact"/>
        <w:rPr>
          <w:rFonts w:ascii="Times New Roman" w:hAnsi="Times New Roman" w:cs="Times New Roman"/>
          <w:sz w:val="24"/>
          <w:szCs w:val="24"/>
        </w:rPr>
      </w:pPr>
    </w:p>
    <w:sectPr w:rsidR="00AF728E" w:rsidRPr="004550E5">
      <w:headerReference w:type="even" r:id="rId17"/>
      <w:headerReference w:type="default" r:id="rId18"/>
      <w:footerReference w:type="even" r:id="rId19"/>
      <w:footerReference w:type="default" r:id="rId20"/>
      <w:headerReference w:type="first" r:id="rId21"/>
      <w:footerReference w:type="first" r:id="rId22"/>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CE" w:rsidRDefault="00D10DCE">
      <w:r>
        <w:separator/>
      </w:r>
    </w:p>
    <w:p w:rsidR="00D10DCE" w:rsidRDefault="00D10DCE"/>
  </w:endnote>
  <w:endnote w:type="continuationSeparator" w:id="0">
    <w:p w:rsidR="00D10DCE" w:rsidRDefault="00D10DCE">
      <w:r>
        <w:continuationSeparator/>
      </w:r>
    </w:p>
    <w:p w:rsidR="00D10DCE" w:rsidRDefault="00D1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0E" w:rsidRDefault="007A1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30" w:rsidRPr="00945D21" w:rsidRDefault="00511530"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511530" w:rsidRPr="00945D21" w:rsidRDefault="005115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511530" w:rsidRPr="00945D21" w:rsidRDefault="005115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511530" w:rsidRPr="00945D21" w:rsidRDefault="005115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511530" w:rsidRDefault="00511530"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511530" w:rsidRDefault="00511530"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RSAW_MOD-030-2_201</w:t>
    </w:r>
    <w:r w:rsidR="000E7AD1">
      <w:rPr>
        <w:rFonts w:ascii="Times New Roman" w:hAnsi="Times New Roman"/>
        <w:sz w:val="18"/>
        <w:szCs w:val="18"/>
      </w:rPr>
      <w:t>1</w:t>
    </w:r>
    <w:r>
      <w:rPr>
        <w:rFonts w:ascii="Times New Roman" w:hAnsi="Times New Roman"/>
        <w:sz w:val="18"/>
        <w:szCs w:val="18"/>
      </w:rPr>
      <w:t>_v1</w:t>
    </w:r>
  </w:p>
  <w:p w:rsidR="00511530" w:rsidRPr="00945D21" w:rsidRDefault="00511530"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0E7AD1">
      <w:rPr>
        <w:rFonts w:ascii="Times New Roman" w:hAnsi="Times New Roman" w:cs="Times New Roman"/>
        <w:color w:val="000000"/>
        <w:sz w:val="18"/>
        <w:szCs w:val="18"/>
      </w:rPr>
      <w:t>January 2011</w:t>
    </w:r>
  </w:p>
  <w:p w:rsidR="00511530" w:rsidRPr="00945D21" w:rsidRDefault="00511530"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27306D">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511530" w:rsidRDefault="005115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0E" w:rsidRDefault="007A1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CE" w:rsidRDefault="00D10DCE">
      <w:r>
        <w:separator/>
      </w:r>
    </w:p>
    <w:p w:rsidR="00D10DCE" w:rsidRDefault="00D10DCE"/>
  </w:footnote>
  <w:footnote w:type="continuationSeparator" w:id="0">
    <w:p w:rsidR="00D10DCE" w:rsidRDefault="00D10DCE">
      <w:r>
        <w:continuationSeparator/>
      </w:r>
    </w:p>
    <w:p w:rsidR="00D10DCE" w:rsidRDefault="00D10DCE"/>
  </w:footnote>
  <w:footnote w:id="1">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2">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3">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4">
    <w:p w:rsidR="00511530" w:rsidRDefault="00511530" w:rsidP="00801FFF">
      <w:pPr>
        <w:pStyle w:val="FootnoteText"/>
      </w:pPr>
      <w:r>
        <w:rPr>
          <w:rStyle w:val="FootnoteReference"/>
        </w:rPr>
        <w:footnoteRef/>
      </w:r>
      <w:r>
        <w:t xml:space="preserve"> A percentage less than that used in the Interconnection-wide congestion management procedure may be utilized.</w:t>
      </w:r>
    </w:p>
  </w:footnote>
  <w:footnote w:id="5">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6">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7">
    <w:p w:rsidR="00511530" w:rsidRDefault="00511530" w:rsidP="00E0426B">
      <w:pPr>
        <w:pStyle w:val="FootnoteText"/>
      </w:pPr>
      <w:r>
        <w:rPr>
          <w:rStyle w:val="FootnoteReference"/>
        </w:rPr>
        <w:footnoteRef/>
      </w:r>
      <w:r>
        <w:t xml:space="preserve"> A percentage less than that used in the Interconnection-wide congestion management procedure may be utilized.</w:t>
      </w:r>
    </w:p>
  </w:footnote>
  <w:footnote w:id="8">
    <w:p w:rsidR="00511530" w:rsidRDefault="00511530" w:rsidP="00DC1116">
      <w:pPr>
        <w:pStyle w:val="FootnoteText"/>
      </w:pPr>
      <w:r>
        <w:rPr>
          <w:rStyle w:val="FootnoteReference"/>
        </w:rPr>
        <w:footnoteRef/>
      </w:r>
      <w:r>
        <w:t xml:space="preserve"> A percentage less than that used in the Interconnection-wide congestion management procedure may be utilized.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0E" w:rsidRDefault="007A1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30" w:rsidRDefault="00511530">
    <w:pPr>
      <w:widowControl w:val="0"/>
      <w:spacing w:line="240" w:lineRule="exact"/>
      <w:rPr>
        <w:rFonts w:cs="Times New Roman"/>
      </w:rPr>
    </w:pPr>
  </w:p>
  <w:p w:rsidR="00511530" w:rsidRPr="006813F3" w:rsidRDefault="00511530" w:rsidP="00FC5C3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511530" w:rsidRPr="00931D2B" w:rsidRDefault="007A1A0E" w:rsidP="00FC5C33">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511530" w:rsidRDefault="00E40BEB">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511530" w:rsidRDefault="00511530">
    <w:pPr>
      <w:widowControl w:val="0"/>
      <w:spacing w:line="248" w:lineRule="exact"/>
      <w:rPr>
        <w:rFonts w:cs="Times New Roman"/>
      </w:rPr>
    </w:pPr>
  </w:p>
  <w:p w:rsidR="00511530" w:rsidRDefault="005115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0E" w:rsidRDefault="007A1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849840DE">
      <w:numFmt w:val="bullet"/>
      <w:lvlText w:val="•"/>
      <w:lvlJc w:val="left"/>
      <w:pPr>
        <w:ind w:left="1440" w:hanging="360"/>
      </w:pPr>
      <w:rPr>
        <w:rFonts w:ascii="Arial" w:eastAsia="Times New Roman" w:hAnsi="Arial" w:cs="Arial" w:hint="default"/>
      </w:rPr>
    </w:lvl>
    <w:lvl w:ilvl="1" w:tplc="E38403DC" w:tentative="1">
      <w:start w:val="1"/>
      <w:numFmt w:val="bullet"/>
      <w:lvlText w:val="o"/>
      <w:lvlJc w:val="left"/>
      <w:pPr>
        <w:ind w:left="2160" w:hanging="360"/>
      </w:pPr>
      <w:rPr>
        <w:rFonts w:ascii="Courier New" w:hAnsi="Courier New" w:cs="Courier New" w:hint="default"/>
      </w:rPr>
    </w:lvl>
    <w:lvl w:ilvl="2" w:tplc="47760394" w:tentative="1">
      <w:start w:val="1"/>
      <w:numFmt w:val="bullet"/>
      <w:lvlText w:val=""/>
      <w:lvlJc w:val="left"/>
      <w:pPr>
        <w:ind w:left="2880" w:hanging="360"/>
      </w:pPr>
      <w:rPr>
        <w:rFonts w:ascii="Wingdings" w:hAnsi="Wingdings" w:hint="default"/>
      </w:rPr>
    </w:lvl>
    <w:lvl w:ilvl="3" w:tplc="B23642F6" w:tentative="1">
      <w:start w:val="1"/>
      <w:numFmt w:val="bullet"/>
      <w:lvlText w:val=""/>
      <w:lvlJc w:val="left"/>
      <w:pPr>
        <w:ind w:left="3600" w:hanging="360"/>
      </w:pPr>
      <w:rPr>
        <w:rFonts w:ascii="Symbol" w:hAnsi="Symbol" w:hint="default"/>
      </w:rPr>
    </w:lvl>
    <w:lvl w:ilvl="4" w:tplc="4E3E3182" w:tentative="1">
      <w:start w:val="1"/>
      <w:numFmt w:val="bullet"/>
      <w:lvlText w:val="o"/>
      <w:lvlJc w:val="left"/>
      <w:pPr>
        <w:ind w:left="4320" w:hanging="360"/>
      </w:pPr>
      <w:rPr>
        <w:rFonts w:ascii="Courier New" w:hAnsi="Courier New" w:cs="Courier New" w:hint="default"/>
      </w:rPr>
    </w:lvl>
    <w:lvl w:ilvl="5" w:tplc="ABAEB244" w:tentative="1">
      <w:start w:val="1"/>
      <w:numFmt w:val="bullet"/>
      <w:lvlText w:val=""/>
      <w:lvlJc w:val="left"/>
      <w:pPr>
        <w:ind w:left="5040" w:hanging="360"/>
      </w:pPr>
      <w:rPr>
        <w:rFonts w:ascii="Wingdings" w:hAnsi="Wingdings" w:hint="default"/>
      </w:rPr>
    </w:lvl>
    <w:lvl w:ilvl="6" w:tplc="876E209C" w:tentative="1">
      <w:start w:val="1"/>
      <w:numFmt w:val="bullet"/>
      <w:lvlText w:val=""/>
      <w:lvlJc w:val="left"/>
      <w:pPr>
        <w:ind w:left="5760" w:hanging="360"/>
      </w:pPr>
      <w:rPr>
        <w:rFonts w:ascii="Symbol" w:hAnsi="Symbol" w:hint="default"/>
      </w:rPr>
    </w:lvl>
    <w:lvl w:ilvl="7" w:tplc="659CABA4" w:tentative="1">
      <w:start w:val="1"/>
      <w:numFmt w:val="bullet"/>
      <w:lvlText w:val="o"/>
      <w:lvlJc w:val="left"/>
      <w:pPr>
        <w:ind w:left="6480" w:hanging="360"/>
      </w:pPr>
      <w:rPr>
        <w:rFonts w:ascii="Courier New" w:hAnsi="Courier New" w:cs="Courier New" w:hint="default"/>
      </w:rPr>
    </w:lvl>
    <w:lvl w:ilvl="8" w:tplc="5D9EE2E6" w:tentative="1">
      <w:start w:val="1"/>
      <w:numFmt w:val="bullet"/>
      <w:lvlText w:val=""/>
      <w:lvlJc w:val="left"/>
      <w:pPr>
        <w:ind w:left="7200" w:hanging="360"/>
      </w:pPr>
      <w:rPr>
        <w:rFonts w:ascii="Wingdings" w:hAnsi="Wingdings" w:hint="default"/>
      </w:rPr>
    </w:lvl>
  </w:abstractNum>
  <w:abstractNum w:abstractNumId="2">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712273"/>
    <w:multiLevelType w:val="multilevel"/>
    <w:tmpl w:val="AF3E8EF2"/>
    <w:lvl w:ilvl="0">
      <w:start w:val="1"/>
      <w:numFmt w:val="bullet"/>
      <w:lvlText w:val="-"/>
      <w:lvlJc w:val="left"/>
      <w:pPr>
        <w:tabs>
          <w:tab w:val="num" w:pos="2160"/>
        </w:tabs>
        <w:ind w:left="2160" w:hanging="360"/>
      </w:pPr>
      <w:rPr>
        <w:rFonts w:ascii="Courier New" w:hAnsi="Courier New" w:hint="default"/>
        <w:b/>
        <w:i w:val="0"/>
        <w:color w:val="auto"/>
        <w:sz w:val="22"/>
        <w:szCs w:val="22"/>
      </w:rPr>
    </w:lvl>
    <w:lvl w:ilvl="1">
      <w:start w:val="1"/>
      <w:numFmt w:val="decimal"/>
      <w:lvlText w:val="R%1.%2."/>
      <w:lvlJc w:val="left"/>
      <w:pPr>
        <w:tabs>
          <w:tab w:val="num" w:pos="3168"/>
        </w:tabs>
        <w:ind w:left="3168" w:hanging="792"/>
      </w:pPr>
      <w:rPr>
        <w:rFonts w:ascii="Times New Roman" w:hAnsi="Times New Roman" w:hint="default"/>
        <w:b/>
        <w:i w:val="0"/>
        <w:sz w:val="22"/>
        <w:szCs w:val="22"/>
      </w:rPr>
    </w:lvl>
    <w:lvl w:ilvl="2">
      <w:start w:val="1"/>
      <w:numFmt w:val="bullet"/>
      <w:lvlText w:val="-"/>
      <w:lvlJc w:val="left"/>
      <w:pPr>
        <w:tabs>
          <w:tab w:val="num" w:pos="3528"/>
        </w:tabs>
        <w:ind w:left="3528" w:hanging="360"/>
      </w:pPr>
      <w:rPr>
        <w:rFonts w:ascii="Courier New" w:hAnsi="Courier New" w:hint="default"/>
        <w:b/>
        <w:i w:val="0"/>
        <w:color w:val="auto"/>
        <w:sz w:val="22"/>
        <w:szCs w:val="22"/>
      </w:rPr>
    </w:lvl>
    <w:lvl w:ilvl="3">
      <w:start w:val="1"/>
      <w:numFmt w:val="decimal"/>
      <w:lvlText w:val="%1.%2.%3.%4."/>
      <w:lvlJc w:val="left"/>
      <w:pPr>
        <w:tabs>
          <w:tab w:val="num" w:pos="2304"/>
        </w:tabs>
        <w:ind w:left="2232" w:hanging="648"/>
      </w:pPr>
      <w:rPr>
        <w:rFonts w:hint="default"/>
        <w:b w:val="0"/>
        <w:i w:val="0"/>
      </w:rPr>
    </w:lvl>
    <w:lvl w:ilvl="4">
      <w:start w:val="1"/>
      <w:numFmt w:val="decimal"/>
      <w:lvlText w:val="%1.%2.%3.%4.%5"/>
      <w:lvlJc w:val="left"/>
      <w:pPr>
        <w:tabs>
          <w:tab w:val="num" w:pos="4752"/>
        </w:tabs>
        <w:ind w:left="4896" w:hanging="216"/>
      </w:pPr>
      <w:rPr>
        <w:rFonts w:ascii="Times New Roman" w:hAnsi="Times New Roman" w:hint="default"/>
        <w:b w:val="0"/>
        <w:i w:val="0"/>
        <w:sz w:val="22"/>
      </w:rPr>
    </w:lvl>
    <w:lvl w:ilvl="5">
      <w:start w:val="1"/>
      <w:numFmt w:val="bullet"/>
      <w:lvlText w:val=""/>
      <w:lvlJc w:val="left"/>
      <w:pPr>
        <w:tabs>
          <w:tab w:val="num" w:pos="3096"/>
        </w:tabs>
        <w:ind w:left="3096" w:hanging="360"/>
      </w:pPr>
      <w:rPr>
        <w:rFonts w:ascii="Symbol" w:hAnsi="Symbol"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6">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03329F"/>
    <w:multiLevelType w:val="multilevel"/>
    <w:tmpl w:val="91EC96FE"/>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8">
    <w:nsid w:val="5F2F52C6"/>
    <w:multiLevelType w:val="multilevel"/>
    <w:tmpl w:val="89FE4B78"/>
    <w:lvl w:ilvl="0">
      <w:start w:val="1"/>
      <w:numFmt w:val="bullet"/>
      <w:pStyle w:val="ListBullet2"/>
      <w:lvlText w:val="-"/>
      <w:lvlJc w:val="left"/>
      <w:pPr>
        <w:tabs>
          <w:tab w:val="num" w:pos="2232"/>
        </w:tabs>
        <w:ind w:left="2232" w:hanging="360"/>
      </w:pPr>
      <w:rPr>
        <w:rFonts w:ascii="Courier New" w:hAnsi="Courier New" w:hint="default"/>
        <w:b/>
        <w:i w:val="0"/>
        <w:color w:val="auto"/>
        <w:sz w:val="22"/>
        <w:szCs w:val="22"/>
      </w:rPr>
    </w:lvl>
    <w:lvl w:ilvl="1">
      <w:start w:val="1"/>
      <w:numFmt w:val="decimal"/>
      <w:lvlText w:val="R%1.%2."/>
      <w:lvlJc w:val="left"/>
      <w:pPr>
        <w:tabs>
          <w:tab w:val="num" w:pos="3384"/>
        </w:tabs>
        <w:ind w:left="3384" w:hanging="792"/>
      </w:pPr>
      <w:rPr>
        <w:rFonts w:ascii="Times New Roman" w:hAnsi="Times New Roman" w:hint="default"/>
        <w:b/>
        <w:i w:val="0"/>
        <w:sz w:val="22"/>
        <w:szCs w:val="22"/>
      </w:rPr>
    </w:lvl>
    <w:lvl w:ilvl="2">
      <w:start w:val="1"/>
      <w:numFmt w:val="decimal"/>
      <w:lvlText w:val="R%1.%2.%3."/>
      <w:lvlJc w:val="left"/>
      <w:pPr>
        <w:tabs>
          <w:tab w:val="num" w:pos="3384"/>
        </w:tabs>
        <w:ind w:left="4248" w:hanging="864"/>
      </w:pPr>
      <w:rPr>
        <w:rFonts w:ascii="Times New Roman" w:hAnsi="Times New Roman" w:hint="default"/>
        <w:b/>
        <w:i w:val="0"/>
        <w:sz w:val="22"/>
        <w:szCs w:val="22"/>
      </w:rPr>
    </w:lvl>
    <w:lvl w:ilvl="3">
      <w:start w:val="1"/>
      <w:numFmt w:val="bullet"/>
      <w:lvlText w:val="-"/>
      <w:lvlJc w:val="left"/>
      <w:pPr>
        <w:tabs>
          <w:tab w:val="num" w:pos="2160"/>
        </w:tabs>
        <w:ind w:left="2160" w:hanging="360"/>
      </w:pPr>
      <w:rPr>
        <w:rFonts w:ascii="Courier New" w:hAnsi="Courier New" w:hint="default"/>
        <w:b/>
        <w:i w:val="0"/>
        <w:color w:val="auto"/>
        <w:sz w:val="22"/>
        <w:szCs w:val="22"/>
      </w:rPr>
    </w:lvl>
    <w:lvl w:ilvl="4">
      <w:start w:val="1"/>
      <w:numFmt w:val="bullet"/>
      <w:lvlText w:val="-"/>
      <w:lvlJc w:val="left"/>
      <w:pPr>
        <w:tabs>
          <w:tab w:val="num" w:pos="5256"/>
        </w:tabs>
        <w:ind w:left="5256" w:hanging="360"/>
      </w:pPr>
      <w:rPr>
        <w:rFonts w:ascii="Courier New" w:hAnsi="Courier New" w:hint="default"/>
        <w:b/>
        <w:i w:val="0"/>
        <w:color w:val="auto"/>
        <w:sz w:val="22"/>
        <w:szCs w:val="22"/>
      </w:rPr>
    </w:lvl>
    <w:lvl w:ilvl="5">
      <w:start w:val="1"/>
      <w:numFmt w:val="bullet"/>
      <w:lvlText w:val=""/>
      <w:lvlJc w:val="left"/>
      <w:pPr>
        <w:tabs>
          <w:tab w:val="num" w:pos="3312"/>
        </w:tabs>
        <w:ind w:left="3312" w:hanging="360"/>
      </w:pPr>
      <w:rPr>
        <w:rFonts w:ascii="Symbol" w:hAnsi="Symbol" w:hint="default"/>
      </w:rPr>
    </w:lvl>
    <w:lvl w:ilvl="6">
      <w:start w:val="1"/>
      <w:numFmt w:val="decimal"/>
      <w:lvlText w:val="%1.%2.%3.%4.%5.%6.%7."/>
      <w:lvlJc w:val="left"/>
      <w:pPr>
        <w:tabs>
          <w:tab w:val="num" w:pos="5616"/>
        </w:tabs>
        <w:ind w:left="5256" w:hanging="1080"/>
      </w:pPr>
      <w:rPr>
        <w:rFonts w:hint="default"/>
      </w:rPr>
    </w:lvl>
    <w:lvl w:ilvl="7">
      <w:start w:val="1"/>
      <w:numFmt w:val="decimal"/>
      <w:lvlText w:val="%1.%2.%3.%4.%5.%6.%7.%8."/>
      <w:lvlJc w:val="left"/>
      <w:pPr>
        <w:tabs>
          <w:tab w:val="num" w:pos="5976"/>
        </w:tabs>
        <w:ind w:left="5760" w:hanging="1224"/>
      </w:pPr>
      <w:rPr>
        <w:rFonts w:hint="default"/>
      </w:rPr>
    </w:lvl>
    <w:lvl w:ilvl="8">
      <w:start w:val="1"/>
      <w:numFmt w:val="decimal"/>
      <w:lvlText w:val="%1.%2.%3.%4.%5.%6.%7.%8.%9."/>
      <w:lvlJc w:val="left"/>
      <w:pPr>
        <w:tabs>
          <w:tab w:val="num" w:pos="6696"/>
        </w:tabs>
        <w:ind w:left="6336" w:hanging="1440"/>
      </w:pPr>
      <w:rPr>
        <w:rFonts w:hint="default"/>
      </w:rPr>
    </w:lvl>
  </w:abstractNum>
  <w:abstractNum w:abstractNumId="9">
    <w:nsid w:val="67672573"/>
    <w:multiLevelType w:val="hybridMultilevel"/>
    <w:tmpl w:val="B390132A"/>
    <w:lvl w:ilvl="0" w:tplc="D556D9DA">
      <w:start w:val="1"/>
      <w:numFmt w:val="bullet"/>
      <w:lvlText w:val="-"/>
      <w:lvlJc w:val="left"/>
      <w:pPr>
        <w:tabs>
          <w:tab w:val="num" w:pos="2232"/>
        </w:tabs>
        <w:ind w:left="2232" w:hanging="360"/>
      </w:pPr>
      <w:rPr>
        <w:rFonts w:ascii="Courier New" w:hAnsi="Courier New" w:hint="default"/>
        <w:color w:val="auto"/>
      </w:rPr>
    </w:lvl>
    <w:lvl w:ilvl="1" w:tplc="318641D2" w:tentative="1">
      <w:start w:val="1"/>
      <w:numFmt w:val="bullet"/>
      <w:lvlText w:val="o"/>
      <w:lvlJc w:val="left"/>
      <w:pPr>
        <w:tabs>
          <w:tab w:val="num" w:pos="792"/>
        </w:tabs>
        <w:ind w:left="792" w:hanging="360"/>
      </w:pPr>
      <w:rPr>
        <w:rFonts w:ascii="Courier New" w:hAnsi="Courier New" w:cs="Courier New" w:hint="default"/>
      </w:rPr>
    </w:lvl>
    <w:lvl w:ilvl="2" w:tplc="A508CE44" w:tentative="1">
      <w:start w:val="1"/>
      <w:numFmt w:val="bullet"/>
      <w:lvlText w:val=""/>
      <w:lvlJc w:val="left"/>
      <w:pPr>
        <w:tabs>
          <w:tab w:val="num" w:pos="1512"/>
        </w:tabs>
        <w:ind w:left="1512" w:hanging="360"/>
      </w:pPr>
      <w:rPr>
        <w:rFonts w:ascii="Wingdings" w:hAnsi="Wingdings" w:hint="default"/>
      </w:rPr>
    </w:lvl>
    <w:lvl w:ilvl="3" w:tplc="8D86F7AA" w:tentative="1">
      <w:start w:val="1"/>
      <w:numFmt w:val="bullet"/>
      <w:lvlText w:val=""/>
      <w:lvlJc w:val="left"/>
      <w:pPr>
        <w:tabs>
          <w:tab w:val="num" w:pos="2232"/>
        </w:tabs>
        <w:ind w:left="2232" w:hanging="360"/>
      </w:pPr>
      <w:rPr>
        <w:rFonts w:ascii="Symbol" w:hAnsi="Symbol" w:hint="default"/>
      </w:rPr>
    </w:lvl>
    <w:lvl w:ilvl="4" w:tplc="FC68D678" w:tentative="1">
      <w:start w:val="1"/>
      <w:numFmt w:val="bullet"/>
      <w:lvlText w:val="o"/>
      <w:lvlJc w:val="left"/>
      <w:pPr>
        <w:tabs>
          <w:tab w:val="num" w:pos="2952"/>
        </w:tabs>
        <w:ind w:left="2952" w:hanging="360"/>
      </w:pPr>
      <w:rPr>
        <w:rFonts w:ascii="Courier New" w:hAnsi="Courier New" w:cs="Courier New" w:hint="default"/>
      </w:rPr>
    </w:lvl>
    <w:lvl w:ilvl="5" w:tplc="43EE7DD6" w:tentative="1">
      <w:start w:val="1"/>
      <w:numFmt w:val="bullet"/>
      <w:lvlText w:val=""/>
      <w:lvlJc w:val="left"/>
      <w:pPr>
        <w:tabs>
          <w:tab w:val="num" w:pos="3672"/>
        </w:tabs>
        <w:ind w:left="3672" w:hanging="360"/>
      </w:pPr>
      <w:rPr>
        <w:rFonts w:ascii="Wingdings" w:hAnsi="Wingdings" w:hint="default"/>
      </w:rPr>
    </w:lvl>
    <w:lvl w:ilvl="6" w:tplc="18780C84" w:tentative="1">
      <w:start w:val="1"/>
      <w:numFmt w:val="bullet"/>
      <w:lvlText w:val=""/>
      <w:lvlJc w:val="left"/>
      <w:pPr>
        <w:tabs>
          <w:tab w:val="num" w:pos="4392"/>
        </w:tabs>
        <w:ind w:left="4392" w:hanging="360"/>
      </w:pPr>
      <w:rPr>
        <w:rFonts w:ascii="Symbol" w:hAnsi="Symbol" w:hint="default"/>
      </w:rPr>
    </w:lvl>
    <w:lvl w:ilvl="7" w:tplc="751C0F1A" w:tentative="1">
      <w:start w:val="1"/>
      <w:numFmt w:val="bullet"/>
      <w:lvlText w:val="o"/>
      <w:lvlJc w:val="left"/>
      <w:pPr>
        <w:tabs>
          <w:tab w:val="num" w:pos="5112"/>
        </w:tabs>
        <w:ind w:left="5112" w:hanging="360"/>
      </w:pPr>
      <w:rPr>
        <w:rFonts w:ascii="Courier New" w:hAnsi="Courier New" w:cs="Courier New" w:hint="default"/>
      </w:rPr>
    </w:lvl>
    <w:lvl w:ilvl="8" w:tplc="B60EDCC8" w:tentative="1">
      <w:start w:val="1"/>
      <w:numFmt w:val="bullet"/>
      <w:lvlText w:val=""/>
      <w:lvlJc w:val="left"/>
      <w:pPr>
        <w:tabs>
          <w:tab w:val="num" w:pos="5832"/>
        </w:tabs>
        <w:ind w:left="5832" w:hanging="360"/>
      </w:pPr>
      <w:rPr>
        <w:rFonts w:ascii="Wingdings" w:hAnsi="Wingdings" w:hint="default"/>
      </w:rPr>
    </w:lvl>
  </w:abstractNum>
  <w:abstractNum w:abstractNumId="10">
    <w:nsid w:val="7E4E4DD3"/>
    <w:multiLevelType w:val="hybridMultilevel"/>
    <w:tmpl w:val="E4A40778"/>
    <w:lvl w:ilvl="0" w:tplc="3334BD0E">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7744F1E2">
      <w:start w:val="1"/>
      <w:numFmt w:val="lowerLetter"/>
      <w:lvlText w:val="%2."/>
      <w:lvlJc w:val="left"/>
      <w:pPr>
        <w:tabs>
          <w:tab w:val="num" w:pos="1440"/>
        </w:tabs>
        <w:ind w:left="1440" w:hanging="360"/>
      </w:pPr>
    </w:lvl>
    <w:lvl w:ilvl="2" w:tplc="1F86A644" w:tentative="1">
      <w:start w:val="1"/>
      <w:numFmt w:val="lowerRoman"/>
      <w:lvlText w:val="%3."/>
      <w:lvlJc w:val="right"/>
      <w:pPr>
        <w:tabs>
          <w:tab w:val="num" w:pos="2160"/>
        </w:tabs>
        <w:ind w:left="2160" w:hanging="180"/>
      </w:pPr>
    </w:lvl>
    <w:lvl w:ilvl="3" w:tplc="06D6C26A" w:tentative="1">
      <w:start w:val="1"/>
      <w:numFmt w:val="decimal"/>
      <w:lvlText w:val="%4."/>
      <w:lvlJc w:val="left"/>
      <w:pPr>
        <w:tabs>
          <w:tab w:val="num" w:pos="2880"/>
        </w:tabs>
        <w:ind w:left="2880" w:hanging="360"/>
      </w:pPr>
    </w:lvl>
    <w:lvl w:ilvl="4" w:tplc="E444B164" w:tentative="1">
      <w:start w:val="1"/>
      <w:numFmt w:val="lowerLetter"/>
      <w:lvlText w:val="%5."/>
      <w:lvlJc w:val="left"/>
      <w:pPr>
        <w:tabs>
          <w:tab w:val="num" w:pos="3600"/>
        </w:tabs>
        <w:ind w:left="3600" w:hanging="360"/>
      </w:pPr>
    </w:lvl>
    <w:lvl w:ilvl="5" w:tplc="B6708F4E" w:tentative="1">
      <w:start w:val="1"/>
      <w:numFmt w:val="lowerRoman"/>
      <w:lvlText w:val="%6."/>
      <w:lvlJc w:val="right"/>
      <w:pPr>
        <w:tabs>
          <w:tab w:val="num" w:pos="4320"/>
        </w:tabs>
        <w:ind w:left="4320" w:hanging="180"/>
      </w:pPr>
    </w:lvl>
    <w:lvl w:ilvl="6" w:tplc="17186066" w:tentative="1">
      <w:start w:val="1"/>
      <w:numFmt w:val="decimal"/>
      <w:lvlText w:val="%7."/>
      <w:lvlJc w:val="left"/>
      <w:pPr>
        <w:tabs>
          <w:tab w:val="num" w:pos="5040"/>
        </w:tabs>
        <w:ind w:left="5040" w:hanging="360"/>
      </w:pPr>
    </w:lvl>
    <w:lvl w:ilvl="7" w:tplc="B2026BCA" w:tentative="1">
      <w:start w:val="1"/>
      <w:numFmt w:val="lowerLetter"/>
      <w:lvlText w:val="%8."/>
      <w:lvlJc w:val="left"/>
      <w:pPr>
        <w:tabs>
          <w:tab w:val="num" w:pos="5760"/>
        </w:tabs>
        <w:ind w:left="5760" w:hanging="360"/>
      </w:pPr>
    </w:lvl>
    <w:lvl w:ilvl="8" w:tplc="A8703B9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32186"/>
    <w:rsid w:val="00041C82"/>
    <w:rsid w:val="000970FA"/>
    <w:rsid w:val="000A1934"/>
    <w:rsid w:val="000C264F"/>
    <w:rsid w:val="000D21D3"/>
    <w:rsid w:val="000D70B8"/>
    <w:rsid w:val="000E7AD1"/>
    <w:rsid w:val="000F4ACD"/>
    <w:rsid w:val="000F5A9B"/>
    <w:rsid w:val="0011459C"/>
    <w:rsid w:val="00116325"/>
    <w:rsid w:val="00126A1E"/>
    <w:rsid w:val="001506C6"/>
    <w:rsid w:val="0015310F"/>
    <w:rsid w:val="00171169"/>
    <w:rsid w:val="00174408"/>
    <w:rsid w:val="001763F4"/>
    <w:rsid w:val="00185954"/>
    <w:rsid w:val="001B5272"/>
    <w:rsid w:val="001D0C8A"/>
    <w:rsid w:val="001E562F"/>
    <w:rsid w:val="001E65B6"/>
    <w:rsid w:val="001E693D"/>
    <w:rsid w:val="001F3490"/>
    <w:rsid w:val="001F467C"/>
    <w:rsid w:val="001F4961"/>
    <w:rsid w:val="001F76D2"/>
    <w:rsid w:val="0020112E"/>
    <w:rsid w:val="00220398"/>
    <w:rsid w:val="00246450"/>
    <w:rsid w:val="00246C3A"/>
    <w:rsid w:val="0026256D"/>
    <w:rsid w:val="0027306D"/>
    <w:rsid w:val="0028242C"/>
    <w:rsid w:val="002A4F3F"/>
    <w:rsid w:val="002B3BBC"/>
    <w:rsid w:val="002B6766"/>
    <w:rsid w:val="002D1C0A"/>
    <w:rsid w:val="002D48D9"/>
    <w:rsid w:val="002E66FF"/>
    <w:rsid w:val="002E7223"/>
    <w:rsid w:val="002F248A"/>
    <w:rsid w:val="0031053B"/>
    <w:rsid w:val="00343273"/>
    <w:rsid w:val="003470C7"/>
    <w:rsid w:val="003512AC"/>
    <w:rsid w:val="00365010"/>
    <w:rsid w:val="00383B95"/>
    <w:rsid w:val="00386419"/>
    <w:rsid w:val="00391649"/>
    <w:rsid w:val="003B705F"/>
    <w:rsid w:val="003B78F8"/>
    <w:rsid w:val="003D223A"/>
    <w:rsid w:val="003D2BF9"/>
    <w:rsid w:val="003D3735"/>
    <w:rsid w:val="003D5F1C"/>
    <w:rsid w:val="003E21DF"/>
    <w:rsid w:val="00415891"/>
    <w:rsid w:val="00442E41"/>
    <w:rsid w:val="00496A9C"/>
    <w:rsid w:val="004A7725"/>
    <w:rsid w:val="004A7C99"/>
    <w:rsid w:val="004C005C"/>
    <w:rsid w:val="004C2E5D"/>
    <w:rsid w:val="00511530"/>
    <w:rsid w:val="00516A93"/>
    <w:rsid w:val="0054305B"/>
    <w:rsid w:val="005436E7"/>
    <w:rsid w:val="00562CB4"/>
    <w:rsid w:val="0059234B"/>
    <w:rsid w:val="005928F8"/>
    <w:rsid w:val="00594B4D"/>
    <w:rsid w:val="005A53C3"/>
    <w:rsid w:val="005C271B"/>
    <w:rsid w:val="005C42F1"/>
    <w:rsid w:val="005E29C0"/>
    <w:rsid w:val="005E50A4"/>
    <w:rsid w:val="005E6AC4"/>
    <w:rsid w:val="005F55FD"/>
    <w:rsid w:val="00617AC1"/>
    <w:rsid w:val="006304FE"/>
    <w:rsid w:val="00635DEF"/>
    <w:rsid w:val="006520BE"/>
    <w:rsid w:val="00655F00"/>
    <w:rsid w:val="006860D2"/>
    <w:rsid w:val="006F56CC"/>
    <w:rsid w:val="00703A5B"/>
    <w:rsid w:val="00703B87"/>
    <w:rsid w:val="00710D7B"/>
    <w:rsid w:val="00715E71"/>
    <w:rsid w:val="00734AC8"/>
    <w:rsid w:val="007579E4"/>
    <w:rsid w:val="00770E9A"/>
    <w:rsid w:val="00797E28"/>
    <w:rsid w:val="007A1A0E"/>
    <w:rsid w:val="007B440B"/>
    <w:rsid w:val="007B5AA7"/>
    <w:rsid w:val="007C091E"/>
    <w:rsid w:val="007D2FD5"/>
    <w:rsid w:val="007D6EAD"/>
    <w:rsid w:val="007D7CE7"/>
    <w:rsid w:val="007E7013"/>
    <w:rsid w:val="00801FFF"/>
    <w:rsid w:val="008124A2"/>
    <w:rsid w:val="00812B52"/>
    <w:rsid w:val="0082119E"/>
    <w:rsid w:val="008342B8"/>
    <w:rsid w:val="00851967"/>
    <w:rsid w:val="008737EE"/>
    <w:rsid w:val="008751C8"/>
    <w:rsid w:val="00875EC6"/>
    <w:rsid w:val="00883445"/>
    <w:rsid w:val="00894F21"/>
    <w:rsid w:val="00896D1B"/>
    <w:rsid w:val="008A13C8"/>
    <w:rsid w:val="008B3FBA"/>
    <w:rsid w:val="008C462E"/>
    <w:rsid w:val="008E7145"/>
    <w:rsid w:val="008E7CBF"/>
    <w:rsid w:val="00911E30"/>
    <w:rsid w:val="00912C26"/>
    <w:rsid w:val="00914A02"/>
    <w:rsid w:val="00920BB5"/>
    <w:rsid w:val="00931D2B"/>
    <w:rsid w:val="00940FE4"/>
    <w:rsid w:val="0094240A"/>
    <w:rsid w:val="00945CE8"/>
    <w:rsid w:val="00945D21"/>
    <w:rsid w:val="00947550"/>
    <w:rsid w:val="009901B0"/>
    <w:rsid w:val="009E1EDE"/>
    <w:rsid w:val="009E5A3E"/>
    <w:rsid w:val="009E6126"/>
    <w:rsid w:val="009F494F"/>
    <w:rsid w:val="00A154A7"/>
    <w:rsid w:val="00A52681"/>
    <w:rsid w:val="00A83961"/>
    <w:rsid w:val="00A95CC4"/>
    <w:rsid w:val="00AB4F7E"/>
    <w:rsid w:val="00AC259B"/>
    <w:rsid w:val="00AE29E8"/>
    <w:rsid w:val="00AE6A2C"/>
    <w:rsid w:val="00AF0F6B"/>
    <w:rsid w:val="00AF339F"/>
    <w:rsid w:val="00AF674C"/>
    <w:rsid w:val="00AF728E"/>
    <w:rsid w:val="00B060A0"/>
    <w:rsid w:val="00B475B3"/>
    <w:rsid w:val="00B862DD"/>
    <w:rsid w:val="00B9113F"/>
    <w:rsid w:val="00BB7AEC"/>
    <w:rsid w:val="00BC3724"/>
    <w:rsid w:val="00BC4B46"/>
    <w:rsid w:val="00BE7749"/>
    <w:rsid w:val="00BF3B2C"/>
    <w:rsid w:val="00BF414B"/>
    <w:rsid w:val="00C03462"/>
    <w:rsid w:val="00C05632"/>
    <w:rsid w:val="00C23F15"/>
    <w:rsid w:val="00C4478B"/>
    <w:rsid w:val="00C96948"/>
    <w:rsid w:val="00CA2126"/>
    <w:rsid w:val="00CB13EC"/>
    <w:rsid w:val="00CE4441"/>
    <w:rsid w:val="00CE5A65"/>
    <w:rsid w:val="00D10BE5"/>
    <w:rsid w:val="00D10DCE"/>
    <w:rsid w:val="00D2641B"/>
    <w:rsid w:val="00D308DB"/>
    <w:rsid w:val="00D633AB"/>
    <w:rsid w:val="00D84951"/>
    <w:rsid w:val="00DA5251"/>
    <w:rsid w:val="00DB102F"/>
    <w:rsid w:val="00DB193C"/>
    <w:rsid w:val="00DB3438"/>
    <w:rsid w:val="00DB7ACC"/>
    <w:rsid w:val="00DC1116"/>
    <w:rsid w:val="00DD04F7"/>
    <w:rsid w:val="00DE0D99"/>
    <w:rsid w:val="00DE6326"/>
    <w:rsid w:val="00DF77F1"/>
    <w:rsid w:val="00E0426B"/>
    <w:rsid w:val="00E0573C"/>
    <w:rsid w:val="00E21A0E"/>
    <w:rsid w:val="00E32DF4"/>
    <w:rsid w:val="00E35227"/>
    <w:rsid w:val="00E40BEB"/>
    <w:rsid w:val="00E4686F"/>
    <w:rsid w:val="00E7409F"/>
    <w:rsid w:val="00E92BC5"/>
    <w:rsid w:val="00EB1142"/>
    <w:rsid w:val="00EC2D53"/>
    <w:rsid w:val="00EC7BDC"/>
    <w:rsid w:val="00ED17DD"/>
    <w:rsid w:val="00EE4BDB"/>
    <w:rsid w:val="00EE770B"/>
    <w:rsid w:val="00F173F4"/>
    <w:rsid w:val="00F250BD"/>
    <w:rsid w:val="00F40B4F"/>
    <w:rsid w:val="00F56EA2"/>
    <w:rsid w:val="00F618AE"/>
    <w:rsid w:val="00F636FC"/>
    <w:rsid w:val="00F65FF8"/>
    <w:rsid w:val="00F74F3F"/>
    <w:rsid w:val="00F94025"/>
    <w:rsid w:val="00F94880"/>
    <w:rsid w:val="00FA5623"/>
    <w:rsid w:val="00FA7812"/>
    <w:rsid w:val="00FB097A"/>
    <w:rsid w:val="00FC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5:chartTrackingRefBased/>
  <w15:docId w15:val="{64F3A4C7-F6D0-452C-9B17-E46A9C8E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link w:val="RequirementChar"/>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RequirementChar">
    <w:name w:val="Requirement Char"/>
    <w:link w:val="Requirement"/>
    <w:rsid w:val="00E0426B"/>
    <w:rPr>
      <w:sz w:val="24"/>
      <w:szCs w:val="24"/>
    </w:rPr>
  </w:style>
  <w:style w:type="paragraph" w:styleId="ListBullet2">
    <w:name w:val="List Bullet 2"/>
    <w:basedOn w:val="Normal"/>
    <w:rsid w:val="00E0426B"/>
    <w:pPr>
      <w:numPr>
        <w:numId w:val="17"/>
      </w:numPr>
      <w:autoSpaceDE/>
      <w:autoSpaceDN/>
      <w:adjustRightInd/>
      <w:spacing w:after="120"/>
    </w:pPr>
    <w:rPr>
      <w:rFonts w:ascii="Times New Roman" w:hAnsi="Times New Roman" w:cs="Times New Roman"/>
      <w:sz w:val="22"/>
      <w:szCs w:val="24"/>
    </w:rPr>
  </w:style>
  <w:style w:type="paragraph" w:styleId="FootnoteText">
    <w:name w:val="footnote text"/>
    <w:basedOn w:val="Normal"/>
    <w:link w:val="FootnoteTextChar"/>
    <w:semiHidden/>
    <w:rsid w:val="00E0426B"/>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E0426B"/>
  </w:style>
  <w:style w:type="character" w:styleId="FootnoteReference">
    <w:name w:val="footnote reference"/>
    <w:semiHidden/>
    <w:rsid w:val="00E0426B"/>
    <w:rPr>
      <w:vertAlign w:val="superscript"/>
    </w:rPr>
  </w:style>
  <w:style w:type="paragraph" w:styleId="ListParagraph">
    <w:name w:val="List Paragraph"/>
    <w:basedOn w:val="Normal"/>
    <w:uiPriority w:val="34"/>
    <w:qFormat/>
    <w:rsid w:val="008342B8"/>
    <w:pPr>
      <w:ind w:left="720"/>
    </w:pPr>
  </w:style>
  <w:style w:type="character" w:styleId="Strong">
    <w:name w:val="Strong"/>
    <w:qFormat/>
    <w:rsid w:val="00F56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96951253">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133915820">
      <w:bodyDiv w:val="1"/>
      <w:marLeft w:val="0"/>
      <w:marRight w:val="0"/>
      <w:marTop w:val="0"/>
      <w:marBottom w:val="0"/>
      <w:divBdr>
        <w:top w:val="none" w:sz="0" w:space="0" w:color="auto"/>
        <w:left w:val="none" w:sz="0" w:space="0" w:color="auto"/>
        <w:bottom w:val="none" w:sz="0" w:space="0" w:color="auto"/>
        <w:right w:val="none" w:sz="0" w:space="0" w:color="auto"/>
      </w:divBdr>
    </w:div>
    <w:div w:id="143394103">
      <w:bodyDiv w:val="1"/>
      <w:marLeft w:val="0"/>
      <w:marRight w:val="0"/>
      <w:marTop w:val="0"/>
      <w:marBottom w:val="0"/>
      <w:divBdr>
        <w:top w:val="none" w:sz="0" w:space="0" w:color="auto"/>
        <w:left w:val="none" w:sz="0" w:space="0" w:color="auto"/>
        <w:bottom w:val="none" w:sz="0" w:space="0" w:color="auto"/>
        <w:right w:val="none" w:sz="0" w:space="0" w:color="auto"/>
      </w:divBdr>
    </w:div>
    <w:div w:id="30351440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06947891">
      <w:bodyDiv w:val="1"/>
      <w:marLeft w:val="0"/>
      <w:marRight w:val="0"/>
      <w:marTop w:val="0"/>
      <w:marBottom w:val="0"/>
      <w:divBdr>
        <w:top w:val="none" w:sz="0" w:space="0" w:color="auto"/>
        <w:left w:val="none" w:sz="0" w:space="0" w:color="auto"/>
        <w:bottom w:val="none" w:sz="0" w:space="0" w:color="auto"/>
        <w:right w:val="none" w:sz="0" w:space="0" w:color="auto"/>
      </w:divBdr>
    </w:div>
    <w:div w:id="753011908">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41395448">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095787690">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18803015">
      <w:bodyDiv w:val="1"/>
      <w:marLeft w:val="0"/>
      <w:marRight w:val="0"/>
      <w:marTop w:val="0"/>
      <w:marBottom w:val="0"/>
      <w:divBdr>
        <w:top w:val="none" w:sz="0" w:space="0" w:color="auto"/>
        <w:left w:val="none" w:sz="0" w:space="0" w:color="auto"/>
        <w:bottom w:val="none" w:sz="0" w:space="0" w:color="auto"/>
        <w:right w:val="none" w:sz="0" w:space="0" w:color="auto"/>
      </w:divBdr>
    </w:div>
    <w:div w:id="1340624448">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20552512">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9925619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MOD-030-2</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EC73E16-9A06-4AAE-AAE0-82828C8CB0B8}"/>
</file>

<file path=customXml/itemProps2.xml><?xml version="1.0" encoding="utf-8"?>
<ds:datastoreItem xmlns:ds="http://schemas.openxmlformats.org/officeDocument/2006/customXml" ds:itemID="{AB7AF14B-234E-480A-8BA3-1CCB3CF806D8}"/>
</file>

<file path=customXml/itemProps3.xml><?xml version="1.0" encoding="utf-8"?>
<ds:datastoreItem xmlns:ds="http://schemas.openxmlformats.org/officeDocument/2006/customXml" ds:itemID="{A48823F5-8039-40CC-AE98-1E0A612A84D5}"/>
</file>

<file path=customXml/itemProps4.xml><?xml version="1.0" encoding="utf-8"?>
<ds:datastoreItem xmlns:ds="http://schemas.openxmlformats.org/officeDocument/2006/customXml" ds:itemID="{0E1668EE-A09F-4E7A-89B5-75121EE65E97}"/>
</file>

<file path=customXml/itemProps5.xml><?xml version="1.0" encoding="utf-8"?>
<ds:datastoreItem xmlns:ds="http://schemas.openxmlformats.org/officeDocument/2006/customXml" ds:itemID="{E9C497BE-D59A-42BD-8B79-AA7F555B8C94}"/>
</file>

<file path=docProps/app.xml><?xml version="1.0" encoding="utf-8"?>
<Properties xmlns="http://schemas.openxmlformats.org/officeDocument/2006/extended-properties" xmlns:vt="http://schemas.openxmlformats.org/officeDocument/2006/docPropsVTypes">
  <Template>Normal</Template>
  <TotalTime>0</TotalTime>
  <Pages>3</Pages>
  <Words>7594</Words>
  <Characters>43286</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Flowgate Methodology</vt:lpstr>
      <vt:lpstr>Subject Matter Experts</vt:lpstr>
      <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R6 Supporting Evidence and Documentation</vt:lpstr>
      <vt:lpstr>R7 Supporting Evidence and Documentation</vt:lpstr>
      <vt:lpstr>R8 Supporting Evidence and Documentation</vt:lpstr>
      <vt:lpstr/>
      <vt:lpstr>R9 Supporting Evidence and Documentation</vt:lpstr>
      <vt:lpstr/>
      <vt:lpstr>R10 Supporting Evidence and Documentation</vt:lpstr>
      <vt:lpstr/>
      <vt:lpstr/>
      <vt:lpstr>R11 Supporting Evidence and Documentation</vt:lpstr>
      <vt:lpstr>Supplemental Information</vt:lpstr>
      <vt:lpstr>Compliance Findings Summary (to be filled out by auditor)</vt:lpstr>
    </vt:vector>
  </TitlesOfParts>
  <Company/>
  <LinksUpToDate>false</LinksUpToDate>
  <CharactersWithSpaces>50779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Flowgate Methodology</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NERCASSETID-406-83</vt:lpwstr>
  </property>
  <property fmtid="{D5CDD505-2E9C-101B-9397-08002B2CF9AE}" pid="3" name="_dlc_DocIdItemGuid">
    <vt:lpwstr>5b72b158-be0f-4fdd-bee7-400530ddaae1</vt:lpwstr>
  </property>
  <property fmtid="{D5CDD505-2E9C-101B-9397-08002B2CF9AE}" pid="4" name="_dlc_DocIdUrl">
    <vt:lpwstr>http://www.nerc.com/pa/comp/_layouts/DocIdRedir.aspx?ID=NERCASSETID-406-83, NERCASSETID-406-83</vt:lpwstr>
  </property>
  <property fmtid="{D5CDD505-2E9C-101B-9397-08002B2CF9AE}" pid="5" name="xd_Signature">
    <vt:lpwstr/>
  </property>
  <property fmtid="{D5CDD505-2E9C-101B-9397-08002B2CF9AE}" pid="6" name="Order">
    <vt:lpwstr>8300.00000000000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